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cs="Times New Roman"/>
          <w:kern w:val="0"/>
          <w:sz w:val="44"/>
          <w:szCs w:val="44"/>
        </w:rPr>
      </w:pPr>
    </w:p>
    <w:p>
      <w:pPr>
        <w:jc w:val="center"/>
        <w:rPr>
          <w:rFonts w:ascii="Times New Roman" w:hAnsi="Times New Roman" w:eastAsia="方正小标宋简体" w:cs="Times New Roman"/>
          <w:kern w:val="0"/>
          <w:sz w:val="44"/>
          <w:szCs w:val="44"/>
        </w:rPr>
      </w:pPr>
    </w:p>
    <w:p>
      <w:pPr>
        <w:jc w:val="center"/>
        <w:rPr>
          <w:rFonts w:ascii="Times New Roman" w:hAnsi="Times New Roman" w:eastAsia="方正小标宋简体" w:cs="Times New Roman"/>
          <w:kern w:val="0"/>
          <w:sz w:val="44"/>
          <w:szCs w:val="44"/>
        </w:rPr>
      </w:pPr>
    </w:p>
    <w:p>
      <w:pPr>
        <w:jc w:val="center"/>
        <w:rPr>
          <w:rFonts w:ascii="Times New Roman" w:hAnsi="Times New Roman" w:eastAsia="方正大标宋简体" w:cs="Times New Roman"/>
          <w:bCs/>
          <w:color w:val="000000"/>
          <w:kern w:val="0"/>
          <w:sz w:val="72"/>
          <w:szCs w:val="72"/>
        </w:rPr>
      </w:pPr>
      <w:r>
        <w:rPr>
          <w:rFonts w:ascii="Times New Roman" w:hAnsi="Times New Roman" w:eastAsia="方正大标宋简体" w:cs="Times New Roman"/>
          <w:bCs/>
          <w:sz w:val="72"/>
          <w:szCs w:val="72"/>
        </w:rPr>
        <w:t>广东省防沙治沙规划</w:t>
      </w:r>
    </w:p>
    <w:p>
      <w:pPr>
        <w:jc w:val="center"/>
        <w:rPr>
          <w:rFonts w:ascii="Times New Roman" w:hAnsi="Times New Roman" w:eastAsia="方正大标宋简体" w:cs="Times New Roman"/>
          <w:bCs/>
          <w:color w:val="000000"/>
          <w:kern w:val="0"/>
          <w:sz w:val="52"/>
          <w:szCs w:val="52"/>
        </w:rPr>
      </w:pPr>
      <w:r>
        <w:rPr>
          <w:rFonts w:ascii="Times New Roman" w:hAnsi="Times New Roman" w:eastAsia="方正大标宋简体" w:cs="Times New Roman"/>
          <w:bCs/>
          <w:color w:val="000000"/>
          <w:kern w:val="0"/>
          <w:sz w:val="52"/>
          <w:szCs w:val="52"/>
        </w:rPr>
        <w:t>（2021</w:t>
      </w:r>
      <w:r>
        <w:rPr>
          <w:rFonts w:hint="eastAsia" w:ascii="Times New Roman" w:hAnsi="Times New Roman" w:eastAsia="方正大标宋简体" w:cs="Times New Roman"/>
          <w:bCs/>
          <w:color w:val="000000"/>
          <w:kern w:val="0"/>
          <w:sz w:val="52"/>
          <w:szCs w:val="52"/>
        </w:rPr>
        <w:t>—</w:t>
      </w:r>
      <w:r>
        <w:rPr>
          <w:rFonts w:ascii="Times New Roman" w:hAnsi="Times New Roman" w:eastAsia="方正大标宋简体" w:cs="Times New Roman"/>
          <w:bCs/>
          <w:color w:val="000000"/>
          <w:kern w:val="0"/>
          <w:sz w:val="52"/>
          <w:szCs w:val="52"/>
        </w:rPr>
        <w:t>2030年）</w:t>
      </w:r>
    </w:p>
    <w:p>
      <w:pPr>
        <w:jc w:val="center"/>
        <w:rPr>
          <w:rFonts w:ascii="Times New Roman" w:hAnsi="Times New Roman" w:eastAsia="方正小标宋简体" w:cs="Times New Roman"/>
          <w:color w:val="000000"/>
          <w:kern w:val="0"/>
          <w:sz w:val="44"/>
          <w:szCs w:val="44"/>
        </w:rPr>
      </w:pPr>
      <w:r>
        <w:rPr>
          <w:rFonts w:hint="eastAsia" w:ascii="Times New Roman" w:hAnsi="Times New Roman" w:eastAsia="方正小标宋简体" w:cs="Times New Roman"/>
          <w:color w:val="000000"/>
          <w:kern w:val="0"/>
          <w:sz w:val="44"/>
          <w:szCs w:val="44"/>
        </w:rPr>
        <w:t>（征求意见稿）</w:t>
      </w:r>
    </w:p>
    <w:p>
      <w:pPr>
        <w:jc w:val="center"/>
        <w:rPr>
          <w:rFonts w:ascii="Times New Roman" w:hAnsi="Times New Roman" w:eastAsia="方正小标宋简体" w:cs="Times New Roman"/>
          <w:color w:val="000000"/>
          <w:kern w:val="0"/>
          <w:sz w:val="44"/>
          <w:szCs w:val="44"/>
        </w:rPr>
      </w:pPr>
    </w:p>
    <w:p>
      <w:pPr>
        <w:pStyle w:val="10"/>
        <w:rPr>
          <w:rFonts w:ascii="Times New Roman" w:hAnsi="Times New Roman" w:cs="Times New Roman"/>
        </w:rPr>
      </w:pPr>
    </w:p>
    <w:p>
      <w:pPr>
        <w:pStyle w:val="10"/>
        <w:rPr>
          <w:rFonts w:ascii="Times New Roman" w:hAnsi="Times New Roman" w:cs="Times New Roman"/>
        </w:rPr>
      </w:pPr>
    </w:p>
    <w:p>
      <w:pPr>
        <w:jc w:val="center"/>
        <w:rPr>
          <w:rFonts w:ascii="Times New Roman" w:hAnsi="Times New Roman" w:eastAsia="方正小标宋简体" w:cs="Times New Roman"/>
          <w:color w:val="000000"/>
          <w:kern w:val="0"/>
          <w:sz w:val="44"/>
          <w:szCs w:val="44"/>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spacing w:line="200" w:lineRule="atLeast"/>
        <w:jc w:val="center"/>
        <w:rPr>
          <w:rFonts w:ascii="Times New Roman" w:hAnsi="Times New Roman" w:eastAsia="方正小标宋简体" w:cs="Times New Roman"/>
          <w:sz w:val="36"/>
          <w:szCs w:val="36"/>
        </w:rPr>
      </w:pPr>
      <w:r>
        <w:rPr>
          <w:rFonts w:ascii="Times New Roman" w:hAnsi="Times New Roman" w:eastAsia="方正小标宋简体" w:cs="Times New Roman"/>
          <w:sz w:val="36"/>
          <w:szCs w:val="36"/>
        </w:rPr>
        <w:t>广东省林业局</w:t>
      </w:r>
    </w:p>
    <w:p>
      <w:pPr>
        <w:spacing w:line="200" w:lineRule="atLeast"/>
        <w:jc w:val="center"/>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广东省发展和改革委员会</w:t>
      </w:r>
    </w:p>
    <w:p>
      <w:pPr>
        <w:spacing w:line="200" w:lineRule="atLeast"/>
        <w:jc w:val="center"/>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广东省财政厅</w:t>
      </w:r>
    </w:p>
    <w:p>
      <w:pPr>
        <w:spacing w:line="200" w:lineRule="atLeast"/>
        <w:jc w:val="center"/>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广东省自然资源厅</w:t>
      </w:r>
    </w:p>
    <w:p>
      <w:pPr>
        <w:spacing w:line="200" w:lineRule="atLeast"/>
        <w:jc w:val="center"/>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广东省生态环境厅</w:t>
      </w:r>
    </w:p>
    <w:p>
      <w:pPr>
        <w:spacing w:line="200" w:lineRule="atLeast"/>
        <w:jc w:val="center"/>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广东省水利厅</w:t>
      </w:r>
    </w:p>
    <w:p>
      <w:pPr>
        <w:spacing w:line="200" w:lineRule="atLeast"/>
        <w:jc w:val="center"/>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广东省农业农村厅</w:t>
      </w:r>
    </w:p>
    <w:p>
      <w:pPr>
        <w:spacing w:line="200" w:lineRule="atLeast"/>
        <w:jc w:val="center"/>
        <w:rPr>
          <w:rFonts w:ascii="Times New Roman" w:hAnsi="Times New Roman" w:eastAsia="方正小标宋简体" w:cs="Times New Roman"/>
          <w:sz w:val="36"/>
          <w:szCs w:val="36"/>
        </w:rPr>
        <w:sectPr>
          <w:pgSz w:w="11906" w:h="16838"/>
          <w:pgMar w:top="1440" w:right="1800" w:bottom="1440" w:left="1800" w:header="851" w:footer="992" w:gutter="0"/>
          <w:cols w:space="720" w:num="1"/>
          <w:docGrid w:type="lines" w:linePitch="312" w:charSpace="0"/>
        </w:sectPr>
      </w:pPr>
      <w:r>
        <w:rPr>
          <w:rFonts w:ascii="Times New Roman" w:hAnsi="Times New Roman" w:eastAsia="方正小标宋简体" w:cs="Times New Roman"/>
          <w:sz w:val="36"/>
          <w:szCs w:val="36"/>
        </w:rPr>
        <w:t>2023年3月</w:t>
      </w:r>
    </w:p>
    <w:p>
      <w:pPr>
        <w:pStyle w:val="2"/>
        <w:spacing w:before="0" w:after="0" w:line="360" w:lineRule="auto"/>
        <w:jc w:val="center"/>
        <w:rPr>
          <w:rFonts w:ascii="Times New Roman" w:hAnsi="Times New Roman" w:eastAsia="方正小标宋简体" w:cs="Times New Roman"/>
          <w:b w:val="0"/>
          <w:bCs w:val="0"/>
          <w:sz w:val="36"/>
          <w:szCs w:val="36"/>
        </w:rPr>
      </w:pPr>
      <w:bookmarkStart w:id="0" w:name="_Toc130845554"/>
      <w:bookmarkStart w:id="1" w:name="_Toc121415989"/>
      <w:bookmarkStart w:id="2" w:name="_Toc130199765"/>
      <w:bookmarkStart w:id="3" w:name="_Toc130453126"/>
      <w:bookmarkStart w:id="4" w:name="_Toc130837901"/>
      <w:r>
        <w:rPr>
          <w:rFonts w:ascii="Times New Roman" w:hAnsi="Times New Roman" w:eastAsia="方正小标宋简体" w:cs="Times New Roman"/>
          <w:b w:val="0"/>
          <w:bCs w:val="0"/>
          <w:sz w:val="36"/>
          <w:szCs w:val="36"/>
        </w:rPr>
        <w:t>前    言</w:t>
      </w:r>
      <w:bookmarkEnd w:id="0"/>
      <w:bookmarkEnd w:id="1"/>
      <w:bookmarkEnd w:id="2"/>
      <w:bookmarkEnd w:id="3"/>
      <w:bookmarkEnd w:id="4"/>
    </w:p>
    <w:p>
      <w:pPr>
        <w:spacing w:before="156" w:beforeLines="50" w:after="156" w:afterLines="50" w:line="560"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沙化土地指在各种气候条件下，由于各种因素形成的、地表呈现以沙（砾）物质为主要标志的退化土地。土地沙化导致生态恶化，土地生产力衰退和自然灾害加剧，严重制约着沿海地区经济发展。党中央、国务院高度重视防沙治沙工作，特别是党的十八大以来，习近平总书记多次对防沙治沙工作做出重要指示批示，强调</w:t>
      </w:r>
      <w:r>
        <w:rPr>
          <w:rFonts w:ascii="Times New Roman" w:hAnsi="Times New Roman" w:eastAsia="仿宋_GB2312" w:cs="Times New Roman"/>
          <w:sz w:val="30"/>
          <w:szCs w:val="30"/>
        </w:rPr>
        <w:t>统筹山水林田湖草</w:t>
      </w:r>
      <w:r>
        <w:rPr>
          <w:rFonts w:hint="eastAsia" w:ascii="Times New Roman" w:hAnsi="Times New Roman" w:eastAsia="仿宋_GB2312" w:cs="Times New Roman"/>
          <w:sz w:val="30"/>
          <w:szCs w:val="30"/>
        </w:rPr>
        <w:t>沙系统治理</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国家“</w:t>
      </w:r>
      <w:r>
        <w:rPr>
          <w:rFonts w:ascii="Times New Roman" w:hAnsi="Times New Roman" w:eastAsia="仿宋_GB2312" w:cs="Times New Roman"/>
          <w:sz w:val="30"/>
          <w:szCs w:val="30"/>
        </w:rPr>
        <w:t>十四五</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规划和2035年远景目标纲要</w:t>
      </w:r>
      <w:r>
        <w:rPr>
          <w:rFonts w:hint="eastAsia" w:ascii="Times New Roman" w:hAnsi="Times New Roman" w:eastAsia="仿宋_GB2312" w:cs="Times New Roman"/>
          <w:sz w:val="30"/>
          <w:szCs w:val="30"/>
        </w:rPr>
        <w:t>也</w:t>
      </w:r>
      <w:r>
        <w:rPr>
          <w:rFonts w:ascii="Times New Roman" w:hAnsi="Times New Roman" w:eastAsia="仿宋_GB2312" w:cs="Times New Roman"/>
          <w:sz w:val="30"/>
          <w:szCs w:val="30"/>
        </w:rPr>
        <w:t>提出科学</w:t>
      </w:r>
      <w:r>
        <w:rPr>
          <w:rFonts w:hint="eastAsia" w:ascii="Times New Roman" w:hAnsi="Times New Roman" w:eastAsia="仿宋_GB2312" w:cs="Times New Roman"/>
          <w:sz w:val="30"/>
          <w:szCs w:val="30"/>
        </w:rPr>
        <w:t>推进</w:t>
      </w:r>
      <w:r>
        <w:rPr>
          <w:rFonts w:ascii="Times New Roman" w:hAnsi="Times New Roman" w:eastAsia="仿宋_GB2312" w:cs="Times New Roman"/>
          <w:sz w:val="30"/>
          <w:szCs w:val="30"/>
        </w:rPr>
        <w:t>水土流失和荒漠化、石漠化综合治理</w:t>
      </w:r>
      <w:r>
        <w:rPr>
          <w:rFonts w:hint="eastAsia" w:ascii="Times New Roman" w:hAnsi="Times New Roman" w:eastAsia="仿宋_GB2312" w:cs="Times New Roman"/>
          <w:sz w:val="30"/>
          <w:szCs w:val="30"/>
        </w:rPr>
        <w:t>。</w:t>
      </w:r>
    </w:p>
    <w:p>
      <w:pPr>
        <w:spacing w:before="156" w:beforeLines="50" w:after="156" w:afterLines="50" w:line="560"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color w:val="000000" w:themeColor="text1"/>
          <w:sz w:val="30"/>
          <w:szCs w:val="30"/>
        </w:rPr>
        <w:t>广东历来高度重视林业建设与生态保护治理，先后实施十年绿化广东、林业生态省建设、新一轮绿美广东大行动等一系列战略举措，对</w:t>
      </w:r>
      <w:r>
        <w:rPr>
          <w:rFonts w:ascii="Times New Roman" w:hAnsi="Times New Roman" w:eastAsia="仿宋_GB2312" w:cs="Times New Roman"/>
          <w:color w:val="000000" w:themeColor="text1"/>
          <w:sz w:val="30"/>
          <w:szCs w:val="30"/>
        </w:rPr>
        <w:t>广东沙化土地治理</w:t>
      </w:r>
      <w:r>
        <w:rPr>
          <w:rFonts w:hint="eastAsia" w:ascii="Times New Roman" w:hAnsi="Times New Roman" w:eastAsia="仿宋_GB2312" w:cs="Times New Roman"/>
          <w:color w:val="000000" w:themeColor="text1"/>
          <w:sz w:val="30"/>
          <w:szCs w:val="30"/>
        </w:rPr>
        <w:t>有重要指导促进作用。2</w:t>
      </w:r>
      <w:r>
        <w:rPr>
          <w:rFonts w:ascii="Times New Roman" w:hAnsi="Times New Roman" w:eastAsia="仿宋_GB2312" w:cs="Times New Roman"/>
          <w:color w:val="000000" w:themeColor="text1"/>
          <w:sz w:val="30"/>
          <w:szCs w:val="30"/>
        </w:rPr>
        <w:t>022</w:t>
      </w:r>
      <w:r>
        <w:rPr>
          <w:rFonts w:hint="eastAsia" w:ascii="Times New Roman" w:hAnsi="Times New Roman" w:eastAsia="仿宋_GB2312" w:cs="Times New Roman"/>
          <w:color w:val="000000" w:themeColor="text1"/>
          <w:sz w:val="30"/>
          <w:szCs w:val="30"/>
        </w:rPr>
        <w:t>年1</w:t>
      </w:r>
      <w:r>
        <w:rPr>
          <w:rFonts w:ascii="Times New Roman" w:hAnsi="Times New Roman" w:eastAsia="仿宋_GB2312" w:cs="Times New Roman"/>
          <w:color w:val="000000" w:themeColor="text1"/>
          <w:sz w:val="30"/>
          <w:szCs w:val="30"/>
        </w:rPr>
        <w:t>2</w:t>
      </w:r>
      <w:r>
        <w:rPr>
          <w:rFonts w:hint="eastAsia" w:ascii="Times New Roman" w:hAnsi="Times New Roman" w:eastAsia="仿宋_GB2312" w:cs="Times New Roman"/>
          <w:color w:val="000000" w:themeColor="text1"/>
          <w:sz w:val="30"/>
          <w:szCs w:val="30"/>
        </w:rPr>
        <w:t>月，中共广东省委十三届二次全会通过了《关于深入推进绿美广东生态建设的决定》（以下简称《决定》），这是广东省委深入贯彻习近平新时代中国特色社会主义思想和党的二十大精神，践行习近平生态文明思想，着眼推动高质量发展、满足群众优美生态需求作出的又一重大决定，为推进做好全省防沙治沙工作提供了机遇和保障。</w:t>
      </w:r>
    </w:p>
    <w:p>
      <w:pPr>
        <w:spacing w:before="156" w:beforeLines="50" w:after="156" w:afterLines="50" w:line="560"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w:t>
      </w:r>
      <w:r>
        <w:rPr>
          <w:rFonts w:ascii="Times New Roman" w:hAnsi="Times New Roman" w:eastAsia="仿宋_GB2312" w:cs="Times New Roman"/>
          <w:sz w:val="30"/>
          <w:szCs w:val="30"/>
        </w:rPr>
        <w:t>022</w:t>
      </w:r>
      <w:r>
        <w:rPr>
          <w:rFonts w:hint="eastAsia" w:ascii="Times New Roman" w:hAnsi="Times New Roman" w:eastAsia="仿宋_GB2312" w:cs="Times New Roman"/>
          <w:sz w:val="30"/>
          <w:szCs w:val="30"/>
        </w:rPr>
        <w:t>年1</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月1</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日，国家林业和草原局会同国家发展改革委、财政部、自然资源部、生态环境部、水利部、农业农村部联合印发《关于印发&lt;全国防沙治沙规划（2</w:t>
      </w:r>
      <w:r>
        <w:rPr>
          <w:rFonts w:ascii="Times New Roman" w:hAnsi="Times New Roman" w:eastAsia="仿宋_GB2312" w:cs="Times New Roman"/>
          <w:sz w:val="30"/>
          <w:szCs w:val="30"/>
        </w:rPr>
        <w:t>021</w:t>
      </w:r>
      <w:r>
        <w:rPr>
          <w:rFonts w:hint="eastAsia" w:ascii="Times New Roman" w:hAnsi="Times New Roman" w:eastAsia="仿宋_GB2312" w:cs="Times New Roman"/>
          <w:sz w:val="30"/>
          <w:szCs w:val="30"/>
        </w:rPr>
        <w:t>—2</w:t>
      </w:r>
      <w:r>
        <w:rPr>
          <w:rFonts w:ascii="Times New Roman" w:hAnsi="Times New Roman" w:eastAsia="仿宋_GB2312" w:cs="Times New Roman"/>
          <w:sz w:val="30"/>
          <w:szCs w:val="30"/>
        </w:rPr>
        <w:t>030</w:t>
      </w:r>
      <w:r>
        <w:rPr>
          <w:rFonts w:hint="eastAsia" w:ascii="Times New Roman" w:hAnsi="Times New Roman" w:eastAsia="仿宋_GB2312" w:cs="Times New Roman"/>
          <w:sz w:val="30"/>
          <w:szCs w:val="30"/>
        </w:rPr>
        <w:t>年）的通知》，广东省基于全国规划编制背景和总体思路，认真总结前期防沙治沙工作成效、经验与面临问题，客观分析土地沙化变化形势，优化防治策略，在巩固上一期工程防治成果基础上，结合第六次沙化土地监测成果，按照防护优先、统筹兼顾、分类施策、综合治理的方针，以遏制沿海土地进一步沙化趋势、促进沙化地区生态根本改善、全面提升生态系统稳定性和综合服务功能，促进林草植被保护与生物多样性恢复，推动防治地区产业转型，实现绿色惠民为根本出发点，提出防沙治沙的总体思路与具体安排，并先后征求和充分吸纳专家、相关部门及各地市的意见建议，最终形成本《规划》。</w:t>
      </w:r>
    </w:p>
    <w:p>
      <w:pPr>
        <w:spacing w:before="156" w:beforeLines="50" w:after="156" w:afterLines="50" w:line="560"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《规划》明确了今后</w:t>
      </w:r>
      <w:bookmarkStart w:id="218" w:name="_GoBack"/>
      <w:bookmarkEnd w:id="218"/>
      <w:r>
        <w:rPr>
          <w:rFonts w:hint="eastAsia" w:ascii="Times New Roman" w:hAnsi="Times New Roman" w:eastAsia="仿宋_GB2312" w:cs="Times New Roman"/>
          <w:sz w:val="30"/>
          <w:szCs w:val="30"/>
        </w:rPr>
        <w:t>广东沙化土地治理和防护工程建设的指导思想、规划目标、防治内容、重点任务和保障措施，是指导各地科学规范、有序高效开展防沙治沙工作的主要依据。</w:t>
      </w:r>
    </w:p>
    <w:p>
      <w:pPr>
        <w:spacing w:before="156" w:beforeLines="50" w:after="156" w:afterLines="50" w:line="560" w:lineRule="exact"/>
        <w:ind w:firstLine="600" w:firstLineChars="200"/>
        <w:rPr>
          <w:rFonts w:ascii="Times New Roman" w:hAnsi="Times New Roman" w:eastAsia="仿宋_GB2312" w:cs="Times New Roman"/>
          <w:sz w:val="30"/>
          <w:szCs w:val="30"/>
        </w:rPr>
      </w:pPr>
    </w:p>
    <w:p>
      <w:pPr>
        <w:spacing w:before="156" w:beforeLines="50" w:after="156" w:afterLines="50" w:line="560" w:lineRule="exact"/>
        <w:ind w:firstLine="600" w:firstLineChars="200"/>
        <w:rPr>
          <w:rFonts w:ascii="Times New Roman" w:hAnsi="Times New Roman" w:eastAsia="仿宋_GB2312" w:cs="Times New Roman"/>
          <w:sz w:val="30"/>
          <w:szCs w:val="30"/>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before="156" w:beforeLines="50" w:after="156" w:afterLines="50" w:line="560" w:lineRule="exact"/>
        <w:ind w:firstLine="600" w:firstLineChars="200"/>
        <w:jc w:val="righ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规划编制</w:t>
      </w:r>
      <w:r>
        <w:rPr>
          <w:rFonts w:ascii="Times New Roman" w:hAnsi="Times New Roman" w:eastAsia="仿宋_GB2312" w:cs="Times New Roman"/>
          <w:sz w:val="30"/>
          <w:szCs w:val="30"/>
        </w:rPr>
        <w:t>组</w:t>
      </w:r>
    </w:p>
    <w:p>
      <w:pPr>
        <w:spacing w:before="156" w:beforeLines="50" w:after="156" w:afterLines="50" w:line="560" w:lineRule="exact"/>
        <w:ind w:firstLine="600" w:firstLineChars="2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 xml:space="preserve"> </w:t>
      </w:r>
      <w:r>
        <w:rPr>
          <w:rFonts w:ascii="Times New Roman" w:hAnsi="Times New Roman" w:eastAsia="仿宋_GB2312" w:cs="Times New Roman"/>
          <w:sz w:val="30"/>
          <w:szCs w:val="30"/>
        </w:rPr>
        <w:t>2023年3月</w:t>
      </w:r>
    </w:p>
    <w:p>
      <w:pPr>
        <w:rPr>
          <w:rFonts w:ascii="Times New Roman" w:hAnsi="Times New Roman" w:cs="Times New Roman"/>
        </w:rPr>
        <w:sectPr>
          <w:footerReference r:id="rId4" w:type="default"/>
          <w:pgSz w:w="11906" w:h="16838"/>
          <w:pgMar w:top="1440" w:right="1800" w:bottom="1440" w:left="1800" w:header="851" w:footer="992" w:gutter="0"/>
          <w:pgNumType w:fmt="upperRoman" w:start="1"/>
          <w:cols w:space="425" w:num="1"/>
          <w:docGrid w:type="lines" w:linePitch="312" w:charSpace="0"/>
        </w:sectPr>
      </w:pPr>
    </w:p>
    <w:sdt>
      <w:sdtPr>
        <w:rPr>
          <w:rFonts w:ascii="Times New Roman" w:hAnsi="Times New Roman" w:cs="Times New Roman"/>
          <w:sz w:val="52"/>
          <w:szCs w:val="52"/>
          <w:lang w:val="zh-CN"/>
        </w:rPr>
        <w:id w:val="109864454"/>
      </w:sdtPr>
      <w:sdtEndPr>
        <w:rPr>
          <w:rStyle w:val="31"/>
          <w:rFonts w:ascii="Times New Roman" w:hAnsi="Times New Roman" w:eastAsia="仿宋_GB2312" w:cs="Times New Roman"/>
          <w:b/>
          <w:bCs/>
          <w:color w:val="0563C1" w:themeColor="hyperlink"/>
          <w:sz w:val="30"/>
          <w:szCs w:val="30"/>
          <w:u w:val="single"/>
          <w:lang w:val="en-US"/>
        </w:rPr>
      </w:sdtEndPr>
      <w:sdtContent>
        <w:p>
          <w:pPr>
            <w:spacing w:line="360" w:lineRule="auto"/>
            <w:jc w:val="center"/>
          </w:pPr>
          <w:r>
            <w:rPr>
              <w:rFonts w:ascii="Times New Roman" w:hAnsi="Times New Roman" w:eastAsia="方正小标宋简体" w:cs="Times New Roman"/>
              <w:sz w:val="36"/>
              <w:szCs w:val="36"/>
              <w:lang w:val="zh-CN"/>
            </w:rPr>
            <w:t>目    录</w:t>
          </w:r>
          <w:r>
            <w:rPr>
              <w:rFonts w:ascii="Times New Roman" w:hAnsi="Times New Roman" w:cs="Times New Roman"/>
              <w:sz w:val="32"/>
              <w:szCs w:val="36"/>
            </w:rPr>
            <w:fldChar w:fldCharType="begin"/>
          </w:r>
          <w:r>
            <w:rPr>
              <w:rFonts w:ascii="Times New Roman" w:hAnsi="Times New Roman" w:cs="Times New Roman"/>
              <w:sz w:val="32"/>
              <w:szCs w:val="36"/>
            </w:rPr>
            <w:instrText xml:space="preserve"> TOC \o "1-3" \h \z \u </w:instrText>
          </w:r>
          <w:r>
            <w:rPr>
              <w:rFonts w:ascii="Times New Roman" w:hAnsi="Times New Roman" w:cs="Times New Roman"/>
              <w:sz w:val="32"/>
              <w:szCs w:val="36"/>
            </w:rPr>
            <w:fldChar w:fldCharType="separate"/>
          </w:r>
        </w:p>
        <w:p>
          <w:pPr>
            <w:pStyle w:val="18"/>
            <w:tabs>
              <w:tab w:val="left" w:pos="1260"/>
              <w:tab w:val="right" w:leader="dot" w:pos="8296"/>
            </w:tabs>
            <w:spacing w:before="50" w:after="50"/>
            <w:rPr>
              <w:rFonts w:ascii="Times New Roman" w:hAnsi="Times New Roman" w:eastAsia="宋体" w:cs="Times New Roman"/>
              <w:b/>
              <w:bCs/>
              <w:sz w:val="30"/>
              <w:szCs w:val="30"/>
            </w:rPr>
          </w:pPr>
          <w:r>
            <w:fldChar w:fldCharType="begin"/>
          </w:r>
          <w:r>
            <w:instrText xml:space="preserve"> HYPERLINK \l "_Toc130845555" </w:instrText>
          </w:r>
          <w:r>
            <w:fldChar w:fldCharType="separate"/>
          </w:r>
          <w:r>
            <w:rPr>
              <w:rStyle w:val="31"/>
              <w:rFonts w:ascii="Times New Roman" w:hAnsi="Times New Roman" w:eastAsia="宋体" w:cs="Times New Roman"/>
              <w:b/>
              <w:bCs/>
              <w:sz w:val="30"/>
              <w:szCs w:val="30"/>
            </w:rPr>
            <w:t>第一章</w:t>
          </w:r>
          <w:r>
            <w:rPr>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防沙治沙形势</w:t>
          </w:r>
          <w:r>
            <w:rPr>
              <w:rFonts w:ascii="Times New Roman" w:hAnsi="Times New Roman" w:eastAsia="宋体" w:cs="Times New Roman"/>
              <w:b/>
              <w:bCs/>
              <w:sz w:val="30"/>
              <w:szCs w:val="30"/>
            </w:rPr>
            <w:tab/>
          </w:r>
          <w:r>
            <w:rPr>
              <w:rFonts w:ascii="Times New Roman" w:hAnsi="Times New Roman" w:eastAsia="宋体" w:cs="Times New Roman"/>
              <w:b/>
              <w:bCs/>
              <w:sz w:val="30"/>
              <w:szCs w:val="30"/>
            </w:rPr>
            <w:fldChar w:fldCharType="begin"/>
          </w:r>
          <w:r>
            <w:rPr>
              <w:rFonts w:ascii="Times New Roman" w:hAnsi="Times New Roman" w:eastAsia="宋体" w:cs="Times New Roman"/>
              <w:b/>
              <w:bCs/>
              <w:sz w:val="30"/>
              <w:szCs w:val="30"/>
            </w:rPr>
            <w:instrText xml:space="preserve"> PAGEREF _Toc130845555 \h </w:instrText>
          </w:r>
          <w:r>
            <w:rPr>
              <w:rFonts w:ascii="Times New Roman" w:hAnsi="Times New Roman" w:eastAsia="宋体" w:cs="Times New Roman"/>
              <w:b/>
              <w:bCs/>
              <w:sz w:val="30"/>
              <w:szCs w:val="30"/>
            </w:rPr>
            <w:fldChar w:fldCharType="separate"/>
          </w:r>
          <w:r>
            <w:rPr>
              <w:rFonts w:ascii="Times New Roman" w:hAnsi="Times New Roman" w:eastAsia="宋体" w:cs="Times New Roman"/>
              <w:b/>
              <w:bCs/>
              <w:sz w:val="30"/>
              <w:szCs w:val="30"/>
            </w:rPr>
            <w:t>1</w:t>
          </w:r>
          <w:r>
            <w:rPr>
              <w:rFonts w:ascii="Times New Roman" w:hAnsi="Times New Roman" w:eastAsia="宋体" w:cs="Times New Roman"/>
              <w:b/>
              <w:bCs/>
              <w:sz w:val="30"/>
              <w:szCs w:val="30"/>
            </w:rPr>
            <w:fldChar w:fldCharType="end"/>
          </w:r>
          <w:r>
            <w:rPr>
              <w:rFonts w:ascii="Times New Roman" w:hAnsi="Times New Roman" w:eastAsia="宋体" w:cs="Times New Roman"/>
              <w:b/>
              <w:bCs/>
              <w:sz w:val="30"/>
              <w:szCs w:val="30"/>
            </w:rPr>
            <w:fldChar w:fldCharType="end"/>
          </w:r>
        </w:p>
        <w:p>
          <w:pPr>
            <w:pStyle w:val="22"/>
            <w:tabs>
              <w:tab w:val="right" w:leader="dot" w:pos="8296"/>
            </w:tabs>
            <w:spacing w:before="50" w:after="50"/>
            <w:rPr>
              <w:rFonts w:ascii="Times New Roman" w:hAnsi="Times New Roman" w:eastAsia="仿宋_GB2312" w:cs="Times New Roman"/>
              <w:sz w:val="30"/>
              <w:szCs w:val="30"/>
            </w:rPr>
          </w:pPr>
          <w:r>
            <w:fldChar w:fldCharType="begin"/>
          </w:r>
          <w:r>
            <w:instrText xml:space="preserve"> HYPERLINK \l "_Toc130845556" </w:instrText>
          </w:r>
          <w:r>
            <w:fldChar w:fldCharType="separate"/>
          </w:r>
          <w:r>
            <w:rPr>
              <w:rStyle w:val="31"/>
              <w:rFonts w:ascii="Times New Roman" w:hAnsi="Times New Roman" w:eastAsia="仿宋_GB2312" w:cs="Times New Roman"/>
              <w:sz w:val="30"/>
              <w:szCs w:val="30"/>
            </w:rPr>
            <w:t>一、 防沙治沙成效明显</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_Toc130845556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eastAsia="仿宋_GB2312" w:cs="Times New Roman"/>
              <w:sz w:val="30"/>
              <w:szCs w:val="30"/>
            </w:rPr>
          </w:pPr>
          <w:r>
            <w:fldChar w:fldCharType="begin"/>
          </w:r>
          <w:r>
            <w:instrText xml:space="preserve"> HYPERLINK \l "_Toc130845560" </w:instrText>
          </w:r>
          <w:r>
            <w:fldChar w:fldCharType="separate"/>
          </w:r>
          <w:r>
            <w:rPr>
              <w:rStyle w:val="31"/>
              <w:rFonts w:ascii="Times New Roman" w:hAnsi="Times New Roman" w:eastAsia="仿宋_GB2312" w:cs="Times New Roman"/>
              <w:sz w:val="30"/>
              <w:szCs w:val="30"/>
            </w:rPr>
            <w:t>二、 面临挑战</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_Toc130845560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4</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eastAsia="仿宋_GB2312" w:cs="Times New Roman"/>
              <w:sz w:val="30"/>
              <w:szCs w:val="30"/>
            </w:rPr>
          </w:pPr>
          <w:r>
            <w:fldChar w:fldCharType="begin"/>
          </w:r>
          <w:r>
            <w:instrText xml:space="preserve"> HYPERLINK \l "_Toc130845564" </w:instrText>
          </w:r>
          <w:r>
            <w:fldChar w:fldCharType="separate"/>
          </w:r>
          <w:r>
            <w:rPr>
              <w:rStyle w:val="31"/>
              <w:rFonts w:ascii="Times New Roman" w:hAnsi="Times New Roman" w:eastAsia="仿宋_GB2312" w:cs="Times New Roman"/>
              <w:sz w:val="30"/>
              <w:szCs w:val="30"/>
            </w:rPr>
            <w:t>三、 面临机遇</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_Toc130845564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6</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"_Toc130845568" </w:instrText>
          </w:r>
          <w:r>
            <w:fldChar w:fldCharType="separate"/>
          </w:r>
          <w:r>
            <w:rPr>
              <w:rStyle w:val="31"/>
              <w:rFonts w:ascii="Times New Roman" w:hAnsi="Times New Roman" w:eastAsia="宋体" w:cs="Times New Roman"/>
              <w:b/>
              <w:bCs/>
              <w:sz w:val="30"/>
              <w:szCs w:val="30"/>
            </w:rPr>
            <w:t>第二章</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总体思路</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_Toc130845568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8</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"_Toc130845569" </w:instrText>
          </w:r>
          <w:r>
            <w:fldChar w:fldCharType="separate"/>
          </w:r>
          <w:r>
            <w:rPr>
              <w:rStyle w:val="31"/>
              <w:rFonts w:ascii="Times New Roman" w:hAnsi="Times New Roman" w:eastAsia="仿宋_GB2312" w:cs="Times New Roman"/>
              <w:sz w:val="30"/>
              <w:szCs w:val="30"/>
            </w:rPr>
            <w:t>一、 指导思想</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_Toc130845569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8</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"_Toc130845570" </w:instrText>
          </w:r>
          <w:r>
            <w:fldChar w:fldCharType="separate"/>
          </w:r>
          <w:r>
            <w:rPr>
              <w:rStyle w:val="31"/>
              <w:rFonts w:ascii="Times New Roman" w:hAnsi="Times New Roman" w:eastAsia="仿宋_GB2312" w:cs="Times New Roman"/>
              <w:sz w:val="30"/>
              <w:szCs w:val="30"/>
            </w:rPr>
            <w:t>二、 基本原则</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_Toc130845570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8</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"_Toc130845576" </w:instrText>
          </w:r>
          <w:r>
            <w:fldChar w:fldCharType="separate"/>
          </w:r>
          <w:r>
            <w:rPr>
              <w:rStyle w:val="31"/>
              <w:rFonts w:ascii="Times New Roman" w:hAnsi="Times New Roman" w:eastAsia="仿宋_GB2312" w:cs="Times New Roman"/>
              <w:sz w:val="30"/>
              <w:szCs w:val="30"/>
            </w:rPr>
            <w:t>三、 规划目标</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_Toc130845576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9</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"_Toc130845579" </w:instrText>
          </w:r>
          <w:r>
            <w:fldChar w:fldCharType="separate"/>
          </w:r>
          <w:r>
            <w:rPr>
              <w:rStyle w:val="31"/>
              <w:rFonts w:ascii="Times New Roman" w:hAnsi="Times New Roman" w:eastAsia="宋体" w:cs="Times New Roman"/>
              <w:b/>
              <w:bCs/>
              <w:sz w:val="30"/>
              <w:szCs w:val="30"/>
            </w:rPr>
            <w:t>第三章</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总体布局和</w:t>
          </w:r>
          <w:r>
            <w:rPr>
              <w:rStyle w:val="31"/>
              <w:rFonts w:hint="eastAsia" w:ascii="Times New Roman" w:hAnsi="Times New Roman" w:eastAsia="宋体" w:cs="Times New Roman"/>
              <w:b/>
              <w:bCs/>
              <w:sz w:val="30"/>
              <w:szCs w:val="30"/>
            </w:rPr>
            <w:t>分区策略</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_Toc130845579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11</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"_Toc130845580" </w:instrText>
          </w:r>
          <w:r>
            <w:fldChar w:fldCharType="separate"/>
          </w:r>
          <w:r>
            <w:rPr>
              <w:rStyle w:val="31"/>
              <w:rFonts w:ascii="Times New Roman" w:hAnsi="Times New Roman" w:eastAsia="仿宋_GB2312" w:cs="Times New Roman"/>
              <w:sz w:val="30"/>
              <w:szCs w:val="30"/>
            </w:rPr>
            <w:t>一、 总体布局</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_Toc130845580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11</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"_Toc130845583" </w:instrText>
          </w:r>
          <w:r>
            <w:fldChar w:fldCharType="separate"/>
          </w:r>
          <w:r>
            <w:rPr>
              <w:rStyle w:val="31"/>
              <w:rFonts w:ascii="Times New Roman" w:hAnsi="Times New Roman" w:eastAsia="仿宋_GB2312" w:cs="Times New Roman"/>
              <w:sz w:val="30"/>
              <w:szCs w:val="30"/>
            </w:rPr>
            <w:t xml:space="preserve">二、 </w:t>
          </w:r>
          <w:r>
            <w:rPr>
              <w:rStyle w:val="31"/>
              <w:rFonts w:hint="eastAsia" w:ascii="Times New Roman" w:hAnsi="Times New Roman" w:eastAsia="仿宋_GB2312" w:cs="Times New Roman"/>
              <w:sz w:val="30"/>
              <w:szCs w:val="30"/>
            </w:rPr>
            <w:t>分区策略</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_Toc130845583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12</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"_Toc130845586" </w:instrText>
          </w:r>
          <w:r>
            <w:fldChar w:fldCharType="separate"/>
          </w:r>
          <w:r>
            <w:rPr>
              <w:rStyle w:val="31"/>
              <w:rFonts w:ascii="Times New Roman" w:hAnsi="Times New Roman" w:eastAsia="仿宋_GB2312" w:cs="Times New Roman"/>
              <w:sz w:val="30"/>
              <w:szCs w:val="30"/>
            </w:rPr>
            <w:t>三、 治理工程</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_Toc130845586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13</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"_Toc130845587" </w:instrText>
          </w:r>
          <w:r>
            <w:fldChar w:fldCharType="separate"/>
          </w:r>
          <w:r>
            <w:rPr>
              <w:rStyle w:val="31"/>
              <w:rFonts w:ascii="Times New Roman" w:hAnsi="Times New Roman" w:eastAsia="宋体" w:cs="Times New Roman"/>
              <w:b/>
              <w:bCs/>
              <w:sz w:val="30"/>
              <w:szCs w:val="30"/>
            </w:rPr>
            <w:t>第四章</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沙化土地分类防护</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_Toc130845587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14</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"_Toc130845588" </w:instrText>
          </w:r>
          <w:r>
            <w:fldChar w:fldCharType="separate"/>
          </w:r>
          <w:r>
            <w:rPr>
              <w:rStyle w:val="31"/>
              <w:rFonts w:ascii="Times New Roman" w:hAnsi="Times New Roman" w:eastAsia="仿宋_GB2312" w:cs="Times New Roman"/>
              <w:sz w:val="30"/>
              <w:szCs w:val="30"/>
            </w:rPr>
            <w:t>一、 主要防护内容及规划目标</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_Toc130845588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14</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"_Toc130845593" </w:instrText>
          </w:r>
          <w:r>
            <w:fldChar w:fldCharType="separate"/>
          </w:r>
          <w:r>
            <w:rPr>
              <w:rStyle w:val="31"/>
              <w:rFonts w:ascii="Times New Roman" w:hAnsi="Times New Roman" w:eastAsia="仿宋_GB2312" w:cs="Times New Roman"/>
              <w:sz w:val="30"/>
              <w:szCs w:val="30"/>
            </w:rPr>
            <w:t>二、 主要防护措施</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_Toc130845593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15</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"_Toc130845597" </w:instrText>
          </w:r>
          <w:r>
            <w:fldChar w:fldCharType="separate"/>
          </w:r>
          <w:r>
            <w:rPr>
              <w:rStyle w:val="31"/>
              <w:rFonts w:ascii="Times New Roman" w:hAnsi="Times New Roman" w:eastAsia="宋体" w:cs="Times New Roman"/>
              <w:b/>
              <w:bCs/>
              <w:sz w:val="30"/>
              <w:szCs w:val="30"/>
            </w:rPr>
            <w:t>第五章</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沿海沙化土地综合治理</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_Toc130845597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17</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"_Toc130845598" </w:instrText>
          </w:r>
          <w:r>
            <w:fldChar w:fldCharType="separate"/>
          </w:r>
          <w:r>
            <w:rPr>
              <w:rStyle w:val="31"/>
              <w:rFonts w:ascii="Times New Roman" w:hAnsi="Times New Roman" w:eastAsia="仿宋_GB2312" w:cs="Times New Roman"/>
              <w:sz w:val="30"/>
              <w:szCs w:val="30"/>
            </w:rPr>
            <w:t>一、 区域规划治理沙化土地任务</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_Toc130845598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17</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"_Toc130845603" </w:instrText>
          </w:r>
          <w:r>
            <w:fldChar w:fldCharType="separate"/>
          </w:r>
          <w:r>
            <w:rPr>
              <w:rStyle w:val="31"/>
              <w:rFonts w:ascii="Times New Roman" w:hAnsi="Times New Roman" w:eastAsia="仿宋_GB2312" w:cs="Times New Roman"/>
              <w:sz w:val="30"/>
              <w:szCs w:val="30"/>
            </w:rPr>
            <w:t>二、 主要修复措施</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_Toc130845603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21</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"_Toc130845608" </w:instrText>
          </w:r>
          <w:r>
            <w:fldChar w:fldCharType="separate"/>
          </w:r>
          <w:r>
            <w:rPr>
              <w:rStyle w:val="31"/>
              <w:rFonts w:ascii="Times New Roman" w:hAnsi="Times New Roman" w:eastAsia="宋体" w:cs="Times New Roman"/>
              <w:b/>
              <w:bCs/>
              <w:sz w:val="30"/>
              <w:szCs w:val="30"/>
            </w:rPr>
            <w:t>第六章</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监测评估体系能力建设</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_Toc130845608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23</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"_Toc130845609" </w:instrText>
          </w:r>
          <w:r>
            <w:fldChar w:fldCharType="separate"/>
          </w:r>
          <w:r>
            <w:rPr>
              <w:rStyle w:val="31"/>
              <w:rFonts w:ascii="Times New Roman" w:hAnsi="Times New Roman" w:eastAsia="仿宋_GB2312" w:cs="Times New Roman"/>
              <w:sz w:val="30"/>
              <w:szCs w:val="30"/>
            </w:rPr>
            <w:t>一、 完善监测体系</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_Toc130845609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23</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"_Toc130845613" </w:instrText>
          </w:r>
          <w:r>
            <w:fldChar w:fldCharType="separate"/>
          </w:r>
          <w:r>
            <w:rPr>
              <w:rStyle w:val="31"/>
              <w:rFonts w:ascii="Times New Roman" w:hAnsi="Times New Roman" w:eastAsia="仿宋_GB2312" w:cs="Times New Roman"/>
              <w:sz w:val="30"/>
              <w:szCs w:val="30"/>
            </w:rPr>
            <w:t>二、 监测方法</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_Toc130845613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24</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"_Toc130845617" </w:instrText>
          </w:r>
          <w:r>
            <w:fldChar w:fldCharType="separate"/>
          </w:r>
          <w:r>
            <w:rPr>
              <w:rStyle w:val="31"/>
              <w:rFonts w:ascii="Times New Roman" w:hAnsi="Times New Roman" w:eastAsia="宋体" w:cs="Times New Roman"/>
              <w:b/>
              <w:bCs/>
              <w:sz w:val="30"/>
              <w:szCs w:val="30"/>
            </w:rPr>
            <w:t>第七章</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t>绿色生态沙产业建设</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_Toc130845617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26</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"_Toc130845618" </w:instrText>
          </w:r>
          <w:r>
            <w:fldChar w:fldCharType="separate"/>
          </w:r>
          <w:r>
            <w:rPr>
              <w:rStyle w:val="31"/>
              <w:rFonts w:ascii="Times New Roman" w:hAnsi="Times New Roman" w:eastAsia="仿宋_GB2312" w:cs="Times New Roman"/>
              <w:sz w:val="30"/>
              <w:szCs w:val="30"/>
            </w:rPr>
            <w:t>一、 发展方向</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_Toc130845618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26</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"_Toc130845622" </w:instrText>
          </w:r>
          <w:r>
            <w:fldChar w:fldCharType="separate"/>
          </w:r>
          <w:r>
            <w:rPr>
              <w:rStyle w:val="31"/>
              <w:rFonts w:ascii="Times New Roman" w:hAnsi="Times New Roman" w:eastAsia="仿宋_GB2312" w:cs="Times New Roman"/>
              <w:sz w:val="30"/>
              <w:szCs w:val="30"/>
            </w:rPr>
            <w:t>二、 重点推行林下经济</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_Toc130845622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26</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"_Toc130845623" </w:instrText>
          </w:r>
          <w:r>
            <w:fldChar w:fldCharType="separate"/>
          </w:r>
          <w:r>
            <w:rPr>
              <w:rStyle w:val="31"/>
              <w:rFonts w:ascii="Times New Roman" w:hAnsi="Times New Roman" w:eastAsia="仿宋_GB2312" w:cs="Times New Roman"/>
              <w:sz w:val="30"/>
              <w:szCs w:val="30"/>
            </w:rPr>
            <w:t>三、 适度发展滨海旅游项目</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_Toc130845623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27</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"_Toc130845624" </w:instrText>
          </w:r>
          <w:r>
            <w:fldChar w:fldCharType="separate"/>
          </w:r>
          <w:r>
            <w:rPr>
              <w:rStyle w:val="31"/>
              <w:rFonts w:ascii="Times New Roman" w:hAnsi="Times New Roman" w:eastAsia="仿宋_GB2312" w:cs="Times New Roman"/>
              <w:sz w:val="30"/>
              <w:szCs w:val="30"/>
            </w:rPr>
            <w:t>四、 用地保障</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_Toc130845624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27</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left" w:pos="1260"/>
              <w:tab w:val="right" w:leader="dot" w:pos="8296"/>
            </w:tabs>
            <w:spacing w:before="50" w:after="50"/>
            <w:rPr>
              <w:rStyle w:val="31"/>
              <w:rFonts w:ascii="Times New Roman" w:hAnsi="Times New Roman" w:eastAsia="宋体" w:cs="Times New Roman"/>
              <w:b/>
              <w:bCs/>
              <w:sz w:val="30"/>
              <w:szCs w:val="30"/>
            </w:rPr>
          </w:pPr>
          <w:r>
            <w:fldChar w:fldCharType="begin"/>
          </w:r>
          <w:r>
            <w:instrText xml:space="preserve"> HYPERLINK \l "_Toc130845625" </w:instrText>
          </w:r>
          <w:r>
            <w:fldChar w:fldCharType="separate"/>
          </w:r>
          <w:r>
            <w:rPr>
              <w:rStyle w:val="31"/>
              <w:rFonts w:ascii="Times New Roman" w:hAnsi="Times New Roman" w:eastAsia="宋体" w:cs="Times New Roman"/>
              <w:b/>
              <w:bCs/>
              <w:sz w:val="30"/>
              <w:szCs w:val="30"/>
            </w:rPr>
            <w:t>第八章</w:t>
          </w:r>
          <w:r>
            <w:rPr>
              <w:rStyle w:val="31"/>
              <w:rFonts w:ascii="Times New Roman" w:hAnsi="Times New Roman" w:eastAsia="宋体" w:cs="Times New Roman"/>
              <w:b/>
              <w:bCs/>
              <w:sz w:val="30"/>
              <w:szCs w:val="30"/>
            </w:rPr>
            <w:tab/>
          </w:r>
          <w:r>
            <w:rPr>
              <w:rStyle w:val="31"/>
              <w:rFonts w:hint="eastAsia" w:ascii="Times New Roman" w:hAnsi="Times New Roman" w:eastAsia="宋体" w:cs="Times New Roman"/>
              <w:b/>
              <w:bCs/>
              <w:sz w:val="30"/>
              <w:szCs w:val="30"/>
            </w:rPr>
            <w:t>健全规划实施保障机制</w:t>
          </w:r>
          <w:r>
            <w:rPr>
              <w:rStyle w:val="31"/>
              <w:rFonts w:ascii="Times New Roman" w:hAnsi="Times New Roman" w:eastAsia="宋体" w:cs="Times New Roman"/>
              <w:b/>
              <w:bCs/>
              <w:sz w:val="30"/>
              <w:szCs w:val="30"/>
            </w:rPr>
            <w:tab/>
          </w:r>
          <w:r>
            <w:rPr>
              <w:rStyle w:val="31"/>
              <w:rFonts w:ascii="Times New Roman" w:hAnsi="Times New Roman" w:eastAsia="宋体" w:cs="Times New Roman"/>
              <w:b/>
              <w:bCs/>
              <w:sz w:val="30"/>
              <w:szCs w:val="30"/>
            </w:rPr>
            <w:fldChar w:fldCharType="begin"/>
          </w:r>
          <w:r>
            <w:rPr>
              <w:rStyle w:val="31"/>
              <w:rFonts w:ascii="Times New Roman" w:hAnsi="Times New Roman" w:eastAsia="宋体" w:cs="Times New Roman"/>
              <w:b/>
              <w:bCs/>
              <w:sz w:val="30"/>
              <w:szCs w:val="30"/>
            </w:rPr>
            <w:instrText xml:space="preserve"> PAGEREF _Toc130845625 \h </w:instrText>
          </w:r>
          <w:r>
            <w:rPr>
              <w:rStyle w:val="31"/>
              <w:rFonts w:ascii="Times New Roman" w:hAnsi="Times New Roman" w:eastAsia="宋体" w:cs="Times New Roman"/>
              <w:b/>
              <w:bCs/>
              <w:sz w:val="30"/>
              <w:szCs w:val="30"/>
            </w:rPr>
            <w:fldChar w:fldCharType="separate"/>
          </w:r>
          <w:r>
            <w:rPr>
              <w:rStyle w:val="31"/>
              <w:rFonts w:ascii="Times New Roman" w:hAnsi="Times New Roman" w:eastAsia="宋体" w:cs="Times New Roman"/>
              <w:b/>
              <w:bCs/>
              <w:sz w:val="30"/>
              <w:szCs w:val="30"/>
            </w:rPr>
            <w:t>28</w:t>
          </w:r>
          <w:r>
            <w:rPr>
              <w:rStyle w:val="31"/>
              <w:rFonts w:ascii="Times New Roman" w:hAnsi="Times New Roman" w:eastAsia="宋体" w:cs="Times New Roman"/>
              <w:b/>
              <w:bCs/>
              <w:sz w:val="30"/>
              <w:szCs w:val="30"/>
            </w:rPr>
            <w:fldChar w:fldCharType="end"/>
          </w:r>
          <w:r>
            <w:rPr>
              <w:rStyle w:val="31"/>
              <w:rFonts w:ascii="Times New Roman" w:hAnsi="Times New Roman" w:eastAsia="宋体" w:cs="Times New Roman"/>
              <w:b/>
              <w:bCs/>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"_Toc130845626" </w:instrText>
          </w:r>
          <w:r>
            <w:fldChar w:fldCharType="separate"/>
          </w:r>
          <w:r>
            <w:rPr>
              <w:rStyle w:val="31"/>
              <w:rFonts w:ascii="Times New Roman" w:hAnsi="Times New Roman" w:eastAsia="仿宋_GB2312" w:cs="Times New Roman"/>
              <w:sz w:val="30"/>
              <w:szCs w:val="30"/>
            </w:rPr>
            <w:t>一、 加强组织管理，落实目标责任</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_Toc130845626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28</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"_Toc130845627" </w:instrText>
          </w:r>
          <w:r>
            <w:fldChar w:fldCharType="separate"/>
          </w:r>
          <w:r>
            <w:rPr>
              <w:rStyle w:val="31"/>
              <w:rFonts w:ascii="Times New Roman" w:hAnsi="Times New Roman" w:eastAsia="仿宋_GB2312" w:cs="Times New Roman"/>
              <w:sz w:val="30"/>
              <w:szCs w:val="30"/>
            </w:rPr>
            <w:t>二、 严格依法治沙，</w:t>
          </w:r>
          <w:r>
            <w:rPr>
              <w:rStyle w:val="31"/>
              <w:rFonts w:hint="eastAsia" w:ascii="Times New Roman" w:hAnsi="Times New Roman" w:eastAsia="仿宋_GB2312" w:cs="Times New Roman"/>
              <w:sz w:val="30"/>
              <w:szCs w:val="30"/>
            </w:rPr>
            <w:t>落实国家部署</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_Toc130845627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28</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"_Toc130845628" </w:instrText>
          </w:r>
          <w:r>
            <w:fldChar w:fldCharType="separate"/>
          </w:r>
          <w:r>
            <w:rPr>
              <w:rStyle w:val="31"/>
              <w:rFonts w:ascii="Times New Roman" w:hAnsi="Times New Roman" w:eastAsia="仿宋_GB2312" w:cs="Times New Roman"/>
              <w:sz w:val="30"/>
              <w:szCs w:val="30"/>
            </w:rPr>
            <w:t>三、 整合资金渠道，加强规范管理</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_Toc130845628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29</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Style w:val="31"/>
              <w:rFonts w:ascii="Times New Roman" w:hAnsi="Times New Roman" w:eastAsia="仿宋_GB2312" w:cs="Times New Roman"/>
              <w:sz w:val="30"/>
              <w:szCs w:val="30"/>
            </w:rPr>
          </w:pPr>
          <w:r>
            <w:fldChar w:fldCharType="begin"/>
          </w:r>
          <w:r>
            <w:instrText xml:space="preserve"> HYPERLINK \l "_Toc130845629" </w:instrText>
          </w:r>
          <w:r>
            <w:fldChar w:fldCharType="separate"/>
          </w:r>
          <w:r>
            <w:rPr>
              <w:rStyle w:val="31"/>
              <w:rFonts w:ascii="Times New Roman" w:hAnsi="Times New Roman" w:eastAsia="仿宋_GB2312" w:cs="Times New Roman"/>
              <w:sz w:val="30"/>
              <w:szCs w:val="30"/>
            </w:rPr>
            <w:t>四、 强化科技支撑，推进技术升级</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_Toc130845629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29</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22"/>
            <w:tabs>
              <w:tab w:val="right" w:leader="dot" w:pos="8296"/>
            </w:tabs>
            <w:spacing w:before="50" w:after="50"/>
            <w:rPr>
              <w:rFonts w:ascii="Times New Roman" w:hAnsi="Times New Roman" w:cs="Times New Roman"/>
            </w:rPr>
          </w:pPr>
          <w:r>
            <w:fldChar w:fldCharType="begin"/>
          </w:r>
          <w:r>
            <w:instrText xml:space="preserve"> HYPERLINK \l "_Toc130845630" </w:instrText>
          </w:r>
          <w:r>
            <w:fldChar w:fldCharType="separate"/>
          </w:r>
          <w:r>
            <w:rPr>
              <w:rStyle w:val="31"/>
              <w:rFonts w:ascii="Times New Roman" w:hAnsi="Times New Roman" w:eastAsia="仿宋_GB2312" w:cs="Times New Roman"/>
              <w:sz w:val="30"/>
              <w:szCs w:val="30"/>
            </w:rPr>
            <w:t>五、 加强宣传教育，营造良好氛围</w:t>
          </w:r>
          <w:r>
            <w:rPr>
              <w:rStyle w:val="31"/>
              <w:rFonts w:ascii="Times New Roman" w:hAnsi="Times New Roman" w:eastAsia="仿宋_GB2312" w:cs="Times New Roman"/>
              <w:sz w:val="30"/>
              <w:szCs w:val="30"/>
            </w:rPr>
            <w:tab/>
          </w:r>
          <w:r>
            <w:rPr>
              <w:rStyle w:val="31"/>
              <w:rFonts w:ascii="Times New Roman" w:hAnsi="Times New Roman" w:eastAsia="仿宋_GB2312" w:cs="Times New Roman"/>
              <w:sz w:val="30"/>
              <w:szCs w:val="30"/>
            </w:rPr>
            <w:fldChar w:fldCharType="begin"/>
          </w:r>
          <w:r>
            <w:rPr>
              <w:rStyle w:val="31"/>
              <w:rFonts w:ascii="Times New Roman" w:hAnsi="Times New Roman" w:eastAsia="仿宋_GB2312" w:cs="Times New Roman"/>
              <w:sz w:val="30"/>
              <w:szCs w:val="30"/>
            </w:rPr>
            <w:instrText xml:space="preserve"> PAGEREF _Toc130845630 \h </w:instrText>
          </w:r>
          <w:r>
            <w:rPr>
              <w:rStyle w:val="31"/>
              <w:rFonts w:ascii="Times New Roman" w:hAnsi="Times New Roman" w:eastAsia="仿宋_GB2312" w:cs="Times New Roman"/>
              <w:sz w:val="30"/>
              <w:szCs w:val="30"/>
            </w:rPr>
            <w:fldChar w:fldCharType="separate"/>
          </w:r>
          <w:r>
            <w:rPr>
              <w:rStyle w:val="31"/>
              <w:rFonts w:ascii="Times New Roman" w:hAnsi="Times New Roman" w:eastAsia="仿宋_GB2312" w:cs="Times New Roman"/>
              <w:sz w:val="30"/>
              <w:szCs w:val="30"/>
            </w:rPr>
            <w:t>30</w:t>
          </w:r>
          <w:r>
            <w:rPr>
              <w:rStyle w:val="31"/>
              <w:rFonts w:ascii="Times New Roman" w:hAnsi="Times New Roman" w:eastAsia="仿宋_GB2312" w:cs="Times New Roman"/>
              <w:sz w:val="30"/>
              <w:szCs w:val="30"/>
            </w:rPr>
            <w:fldChar w:fldCharType="end"/>
          </w:r>
          <w:r>
            <w:rPr>
              <w:rStyle w:val="31"/>
              <w:rFonts w:ascii="Times New Roman" w:hAnsi="Times New Roman" w:eastAsia="仿宋_GB2312" w:cs="Times New Roman"/>
              <w:sz w:val="30"/>
              <w:szCs w:val="30"/>
            </w:rPr>
            <w:fldChar w:fldCharType="end"/>
          </w:r>
        </w:p>
        <w:p>
          <w:pPr>
            <w:pStyle w:val="18"/>
            <w:tabs>
              <w:tab w:val="right" w:leader="dot" w:pos="8296"/>
            </w:tabs>
            <w:spacing w:before="50" w:after="50"/>
            <w:rPr>
              <w:rFonts w:ascii="Times New Roman" w:hAnsi="Times New Roman" w:cs="Times New Roman"/>
              <w:lang w:val="zh-CN"/>
            </w:rPr>
          </w:pPr>
          <w:r>
            <w:rPr>
              <w:rFonts w:ascii="Times New Roman" w:hAnsi="Times New Roman" w:cs="Times New Roman"/>
              <w:sz w:val="32"/>
              <w:szCs w:val="36"/>
              <w:lang w:val="zh-CN"/>
            </w:rPr>
            <w:fldChar w:fldCharType="end"/>
          </w:r>
        </w:p>
      </w:sdtContent>
    </w:sdt>
    <w:p>
      <w:pPr>
        <w:pStyle w:val="18"/>
        <w:tabs>
          <w:tab w:val="right" w:leader="dot" w:pos="8296"/>
        </w:tabs>
        <w:spacing w:before="50" w:after="50"/>
        <w:rPr>
          <w:rFonts w:ascii="Times New Roman" w:hAnsi="Times New Roman" w:eastAsia="仿宋_GB2312" w:cs="Times New Roman"/>
          <w:b/>
          <w:bCs/>
          <w:sz w:val="28"/>
          <w:szCs w:val="28"/>
          <w:lang w:val="zh-CN"/>
        </w:rPr>
      </w:pPr>
      <w:r>
        <w:rPr>
          <w:rFonts w:ascii="Times New Roman" w:hAnsi="Times New Roman" w:eastAsia="仿宋_GB2312" w:cs="Times New Roman"/>
          <w:b/>
          <w:bCs/>
          <w:sz w:val="28"/>
          <w:szCs w:val="28"/>
          <w:lang w:val="zh-CN"/>
        </w:rPr>
        <w:t>附表：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广东省防沙治沙规划范围表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广东省沙化土地按沙化程度面积统计表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广东省沙化土地按土地利用类型面积统计表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广东省防沙治沙规划沙化土地</w:t>
      </w:r>
      <w:r>
        <w:rPr>
          <w:rFonts w:hint="eastAsia" w:ascii="Times New Roman" w:hAnsi="Times New Roman" w:eastAsia="仿宋_GB2312" w:cs="Times New Roman"/>
          <w:color w:val="000000" w:themeColor="text1"/>
          <w:sz w:val="30"/>
          <w:szCs w:val="30"/>
        </w:rPr>
        <w:t>防</w:t>
      </w:r>
      <w:r>
        <w:rPr>
          <w:rFonts w:ascii="Times New Roman" w:hAnsi="Times New Roman" w:eastAsia="仿宋_GB2312" w:cs="Times New Roman"/>
          <w:color w:val="000000" w:themeColor="text1"/>
          <w:sz w:val="30"/>
          <w:szCs w:val="30"/>
        </w:rPr>
        <w:t>护面积统计表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广东省防沙治沙规划人工造林按年度实施规划表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广东省防沙治沙规划补植套种按年度实施规划表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广东省防沙治沙规划更新改造按年度实施规划表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广东省防沙治沙规划封山（沙）育林（草）按年度实施规划表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广东省防沙治沙规划森林抚育按年度实施规划表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广东省防沙治沙规划建设任务汇总表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广东省防沙治沙工程</w:t>
      </w:r>
      <w:r>
        <w:rPr>
          <w:rFonts w:hint="eastAsia" w:ascii="Times New Roman" w:hAnsi="Times New Roman" w:eastAsia="仿宋_GB2312" w:cs="Times New Roman"/>
          <w:color w:val="000000" w:themeColor="text1"/>
          <w:sz w:val="30"/>
          <w:szCs w:val="30"/>
        </w:rPr>
        <w:t>2</w:t>
      </w:r>
      <w:r>
        <w:rPr>
          <w:rFonts w:ascii="Times New Roman" w:hAnsi="Times New Roman" w:eastAsia="仿宋_GB2312" w:cs="Times New Roman"/>
          <w:color w:val="000000" w:themeColor="text1"/>
          <w:sz w:val="30"/>
          <w:szCs w:val="30"/>
        </w:rPr>
        <w:t>023</w:t>
      </w:r>
      <w:r>
        <w:rPr>
          <w:rFonts w:hint="eastAsia" w:ascii="Times New Roman" w:hAnsi="Times New Roman" w:eastAsia="仿宋_GB2312" w:cs="Times New Roman"/>
          <w:color w:val="000000" w:themeColor="text1"/>
          <w:sz w:val="30"/>
          <w:szCs w:val="30"/>
        </w:rPr>
        <w:t>年</w:t>
      </w:r>
      <w:r>
        <w:rPr>
          <w:rFonts w:ascii="Times New Roman" w:hAnsi="Times New Roman" w:eastAsia="仿宋_GB2312" w:cs="Times New Roman"/>
          <w:color w:val="000000" w:themeColor="text1"/>
          <w:sz w:val="30"/>
          <w:szCs w:val="30"/>
        </w:rPr>
        <w:t>建设任务规划表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广东省防沙治沙工程</w:t>
      </w:r>
      <w:r>
        <w:rPr>
          <w:rFonts w:hint="eastAsia" w:ascii="Times New Roman" w:hAnsi="Times New Roman" w:eastAsia="仿宋_GB2312" w:cs="Times New Roman"/>
          <w:color w:val="000000" w:themeColor="text1"/>
          <w:sz w:val="30"/>
          <w:szCs w:val="30"/>
        </w:rPr>
        <w:t>2</w:t>
      </w:r>
      <w:r>
        <w:rPr>
          <w:rFonts w:ascii="Times New Roman" w:hAnsi="Times New Roman" w:eastAsia="仿宋_GB2312" w:cs="Times New Roman"/>
          <w:color w:val="000000" w:themeColor="text1"/>
          <w:sz w:val="30"/>
          <w:szCs w:val="30"/>
        </w:rPr>
        <w:t>024</w:t>
      </w:r>
      <w:r>
        <w:rPr>
          <w:rFonts w:hint="eastAsia" w:ascii="Times New Roman" w:hAnsi="Times New Roman" w:eastAsia="仿宋_GB2312" w:cs="Times New Roman"/>
          <w:color w:val="000000" w:themeColor="text1"/>
          <w:sz w:val="30"/>
          <w:szCs w:val="30"/>
        </w:rPr>
        <w:t>年</w:t>
      </w:r>
      <w:r>
        <w:rPr>
          <w:rFonts w:ascii="Times New Roman" w:hAnsi="Times New Roman" w:eastAsia="仿宋_GB2312" w:cs="Times New Roman"/>
          <w:color w:val="000000" w:themeColor="text1"/>
          <w:sz w:val="30"/>
          <w:szCs w:val="30"/>
        </w:rPr>
        <w:t>建设任务规划表</w:t>
      </w:r>
    </w:p>
    <w:p>
      <w:pPr>
        <w:pStyle w:val="4"/>
        <w:numPr>
          <w:ilvl w:val="0"/>
          <w:numId w:val="3"/>
        </w:numPr>
        <w:spacing w:line="560" w:lineRule="exact"/>
        <w:ind w:left="0"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广东省防沙治沙工程</w:t>
      </w:r>
      <w:r>
        <w:rPr>
          <w:rFonts w:hint="eastAsia" w:ascii="Times New Roman" w:hAnsi="Times New Roman" w:eastAsia="仿宋_GB2312" w:cs="Times New Roman"/>
          <w:color w:val="000000" w:themeColor="text1"/>
          <w:sz w:val="30"/>
          <w:szCs w:val="30"/>
        </w:rPr>
        <w:t>2</w:t>
      </w:r>
      <w:r>
        <w:rPr>
          <w:rFonts w:ascii="Times New Roman" w:hAnsi="Times New Roman" w:eastAsia="仿宋_GB2312" w:cs="Times New Roman"/>
          <w:color w:val="000000" w:themeColor="text1"/>
          <w:sz w:val="30"/>
          <w:szCs w:val="30"/>
        </w:rPr>
        <w:t>025</w:t>
      </w:r>
      <w:r>
        <w:rPr>
          <w:rFonts w:hint="eastAsia" w:ascii="Times New Roman" w:hAnsi="Times New Roman" w:eastAsia="仿宋_GB2312" w:cs="Times New Roman"/>
          <w:color w:val="000000" w:themeColor="text1"/>
          <w:sz w:val="30"/>
          <w:szCs w:val="30"/>
        </w:rPr>
        <w:t>年</w:t>
      </w:r>
      <w:r>
        <w:rPr>
          <w:rFonts w:ascii="Times New Roman" w:hAnsi="Times New Roman" w:eastAsia="仿宋_GB2312" w:cs="Times New Roman"/>
          <w:color w:val="000000" w:themeColor="text1"/>
          <w:sz w:val="30"/>
          <w:szCs w:val="30"/>
        </w:rPr>
        <w:t>建设任务规划表</w:t>
      </w:r>
    </w:p>
    <w:p>
      <w:pPr>
        <w:pStyle w:val="18"/>
        <w:tabs>
          <w:tab w:val="right" w:leader="dot" w:pos="8296"/>
        </w:tabs>
        <w:spacing w:before="50" w:after="50"/>
        <w:rPr>
          <w:rFonts w:ascii="Times New Roman" w:hAnsi="Times New Roman" w:eastAsia="仿宋_GB2312" w:cs="Times New Roman"/>
          <w:b/>
          <w:bCs/>
          <w:sz w:val="28"/>
          <w:szCs w:val="28"/>
          <w:lang w:val="zh-CN"/>
        </w:rPr>
      </w:pPr>
      <w:r>
        <w:rPr>
          <w:rFonts w:ascii="Times New Roman" w:hAnsi="Times New Roman" w:eastAsia="仿宋_GB2312" w:cs="Times New Roman"/>
          <w:b/>
          <w:bCs/>
          <w:sz w:val="28"/>
          <w:szCs w:val="28"/>
          <w:lang w:val="zh-CN"/>
        </w:rPr>
        <w:t>附</w:t>
      </w:r>
      <w:r>
        <w:rPr>
          <w:rFonts w:hint="eastAsia" w:ascii="Times New Roman" w:hAnsi="Times New Roman" w:eastAsia="仿宋_GB2312" w:cs="Times New Roman"/>
          <w:b/>
          <w:bCs/>
          <w:sz w:val="28"/>
          <w:szCs w:val="28"/>
          <w:lang w:val="zh-CN"/>
        </w:rPr>
        <w:t>件</w:t>
      </w:r>
      <w:r>
        <w:rPr>
          <w:rFonts w:ascii="Times New Roman" w:hAnsi="Times New Roman" w:eastAsia="仿宋_GB2312" w:cs="Times New Roman"/>
          <w:b/>
          <w:bCs/>
          <w:sz w:val="28"/>
          <w:szCs w:val="28"/>
          <w:lang w:val="zh-CN"/>
        </w:rPr>
        <w:t>：</w:t>
      </w:r>
    </w:p>
    <w:p>
      <w:pPr>
        <w:pStyle w:val="4"/>
        <w:numPr>
          <w:ilvl w:val="0"/>
          <w:numId w:val="4"/>
        </w:numPr>
        <w:spacing w:line="560" w:lineRule="exact"/>
        <w:ind w:left="1021" w:firstLineChars="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《广东省防沙治沙规划（2021-2030年）》编制情况说明</w:t>
      </w:r>
    </w:p>
    <w:p>
      <w:pPr>
        <w:pStyle w:val="4"/>
        <w:numPr>
          <w:ilvl w:val="0"/>
          <w:numId w:val="4"/>
        </w:numPr>
        <w:spacing w:line="560" w:lineRule="exact"/>
        <w:ind w:left="1021" w:firstLineChars="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关于印发《全国防沙治沙规划（2021-2030年）》的通知</w:t>
      </w:r>
    </w:p>
    <w:p>
      <w:pPr>
        <w:pStyle w:val="4"/>
        <w:numPr>
          <w:ilvl w:val="0"/>
          <w:numId w:val="4"/>
        </w:numPr>
        <w:spacing w:line="560" w:lineRule="exact"/>
        <w:ind w:left="1021" w:firstLineChars="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名词解释</w:t>
      </w:r>
    </w:p>
    <w:p>
      <w:pPr>
        <w:pStyle w:val="18"/>
        <w:tabs>
          <w:tab w:val="right" w:leader="dot" w:pos="8296"/>
        </w:tabs>
        <w:spacing w:before="50" w:after="50"/>
        <w:rPr>
          <w:rFonts w:ascii="Times New Roman" w:hAnsi="Times New Roman" w:eastAsia="仿宋_GB2312" w:cs="Times New Roman"/>
          <w:b/>
          <w:bCs/>
          <w:sz w:val="28"/>
          <w:szCs w:val="28"/>
          <w:lang w:val="zh-CN"/>
        </w:rPr>
      </w:pPr>
      <w:r>
        <w:rPr>
          <w:rFonts w:ascii="Times New Roman" w:hAnsi="Times New Roman" w:eastAsia="仿宋_GB2312" w:cs="Times New Roman"/>
          <w:b/>
          <w:bCs/>
          <w:sz w:val="28"/>
          <w:szCs w:val="28"/>
          <w:lang w:val="zh-CN"/>
        </w:rPr>
        <w:t>附</w:t>
      </w:r>
      <w:r>
        <w:rPr>
          <w:rFonts w:hint="eastAsia" w:ascii="Times New Roman" w:hAnsi="Times New Roman" w:eastAsia="仿宋_GB2312" w:cs="Times New Roman"/>
          <w:b/>
          <w:bCs/>
          <w:sz w:val="28"/>
          <w:szCs w:val="28"/>
          <w:lang w:val="zh-CN"/>
        </w:rPr>
        <w:t>图</w:t>
      </w:r>
      <w:r>
        <w:rPr>
          <w:rFonts w:ascii="Times New Roman" w:hAnsi="Times New Roman" w:eastAsia="仿宋_GB2312" w:cs="Times New Roman"/>
          <w:b/>
          <w:bCs/>
          <w:sz w:val="28"/>
          <w:szCs w:val="28"/>
          <w:lang w:val="zh-CN"/>
        </w:rPr>
        <w:t>：</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广东省防沙治沙规划总体布局示意图</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广东省沙化土地类型分布示意图（粤东）</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广东省沙化土地类型分布示意图（粤西）</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广东省沙化土地程度分布示意图（粤东）</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广东省沙化土地程度分布示意图（粤西）</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广东省沙化土地利用类型分布示意图（粤东）</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广东省沙化土地利用类型分布示意图（粤西）</w:t>
      </w:r>
    </w:p>
    <w:p>
      <w:pPr>
        <w:pStyle w:val="4"/>
        <w:numPr>
          <w:ilvl w:val="0"/>
          <w:numId w:val="5"/>
        </w:numPr>
        <w:spacing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广东省已治理沙化土地治理程度分布示意图（粤东）</w:t>
      </w:r>
    </w:p>
    <w:p>
      <w:pPr>
        <w:pStyle w:val="4"/>
        <w:numPr>
          <w:ilvl w:val="0"/>
          <w:numId w:val="5"/>
        </w:numPr>
        <w:spacing w:before="50" w:after="50" w:line="560" w:lineRule="exact"/>
        <w:ind w:left="1021" w:firstLineChars="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广东省已治理沙化土地治理程度分布示意图（粤西）</w:t>
      </w:r>
    </w:p>
    <w:p>
      <w:pPr>
        <w:widowControl/>
        <w:tabs>
          <w:tab w:val="left" w:pos="1591"/>
        </w:tabs>
        <w:jc w:val="left"/>
        <w:rPr>
          <w:rFonts w:ascii="Times New Roman" w:hAnsi="Times New Roman" w:eastAsia="仿宋" w:cs="Times New Roman"/>
          <w:sz w:val="36"/>
          <w:szCs w:val="36"/>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仿宋" w:cs="Times New Roman"/>
          <w:kern w:val="44"/>
          <w:sz w:val="36"/>
          <w:szCs w:val="36"/>
        </w:rPr>
        <w:tab/>
      </w:r>
      <w:r>
        <w:rPr>
          <w:rFonts w:ascii="Times New Roman" w:hAnsi="Times New Roman" w:eastAsia="仿宋" w:cs="Times New Roman"/>
          <w:sz w:val="36"/>
          <w:szCs w:val="36"/>
        </w:rPr>
        <w:tab/>
      </w: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5" w:name="_Toc130845555"/>
      <w:r>
        <w:rPr>
          <w:rFonts w:ascii="Times New Roman" w:hAnsi="Times New Roman" w:eastAsia="黑体" w:cs="Times New Roman"/>
          <w:b w:val="0"/>
          <w:bCs w:val="0"/>
          <w:sz w:val="36"/>
          <w:szCs w:val="36"/>
        </w:rPr>
        <w:t>防沙治沙形势</w:t>
      </w:r>
      <w:bookmarkEnd w:id="5"/>
    </w:p>
    <w:p>
      <w:pPr>
        <w:spacing w:line="56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广东省沙化土地分布在粤东沿海和粤西沿海地区，</w:t>
      </w:r>
      <w:r>
        <w:rPr>
          <w:rFonts w:hint="eastAsia" w:ascii="Times New Roman" w:hAnsi="Times New Roman" w:eastAsia="仿宋_GB2312" w:cs="Times New Roman"/>
          <w:sz w:val="30"/>
          <w:szCs w:val="30"/>
        </w:rPr>
        <w:t>分布特点呈不规则的连续或不连续的带状或线状，处于沿海海岸的最前沿，形态多为沙滩，部分成垄状。</w:t>
      </w:r>
      <w:r>
        <w:rPr>
          <w:rFonts w:hint="eastAsia" w:ascii="Times New Roman" w:hAnsi="Times New Roman" w:eastAsia="仿宋_GB2312" w:cs="Times New Roman"/>
          <w:color w:val="000000" w:themeColor="text1"/>
          <w:sz w:val="30"/>
          <w:szCs w:val="30"/>
        </w:rPr>
        <w:t>沙化土地成因主要有两种：一是海洋的沙砾在海潮</w:t>
      </w:r>
      <w:r>
        <w:rPr>
          <w:rFonts w:ascii="Times New Roman" w:hAnsi="Times New Roman" w:eastAsia="仿宋_GB2312" w:cs="Times New Roman"/>
          <w:color w:val="000000" w:themeColor="text1"/>
          <w:sz w:val="30"/>
          <w:szCs w:val="30"/>
        </w:rPr>
        <w:t>的作用下推向岸边，逐渐堆成沙滩或沙垄，在强风或台风的吹袭下向内陆扩展，使土地沙化</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二是江河上游水土流失的沙石在出海口两边沉积下来，形成大片沙地。</w:t>
      </w:r>
    </w:p>
    <w:p>
      <w:pPr>
        <w:spacing w:after="156" w:afterLines="50"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根据2</w:t>
      </w:r>
      <w:r>
        <w:rPr>
          <w:rFonts w:ascii="Times New Roman" w:hAnsi="Times New Roman" w:eastAsia="仿宋_GB2312" w:cs="Times New Roman"/>
          <w:color w:val="000000" w:themeColor="text1"/>
          <w:sz w:val="30"/>
          <w:szCs w:val="30"/>
        </w:rPr>
        <w:t>019</w:t>
      </w:r>
      <w:r>
        <w:rPr>
          <w:rFonts w:hint="eastAsia" w:ascii="Times New Roman" w:hAnsi="Times New Roman" w:eastAsia="仿宋_GB2312" w:cs="Times New Roman"/>
          <w:color w:val="000000" w:themeColor="text1"/>
          <w:sz w:val="30"/>
          <w:szCs w:val="30"/>
        </w:rPr>
        <w:t>年开展的第六次沙化土地监测，广东省现有沙化土地面积</w:t>
      </w:r>
      <w:r>
        <w:rPr>
          <w:rFonts w:ascii="Times New Roman" w:hAnsi="Times New Roman" w:eastAsia="仿宋_GB2312" w:cs="Times New Roman"/>
          <w:color w:val="000000" w:themeColor="text1"/>
          <w:sz w:val="30"/>
          <w:szCs w:val="30"/>
        </w:rPr>
        <w:t>33944.7362公顷</w:t>
      </w:r>
      <w:r>
        <w:rPr>
          <w:rFonts w:hint="eastAsia" w:ascii="Times New Roman" w:hAnsi="Times New Roman" w:eastAsia="仿宋_GB2312" w:cs="Times New Roman"/>
          <w:color w:val="000000" w:themeColor="text1"/>
          <w:sz w:val="30"/>
          <w:szCs w:val="30"/>
        </w:rPr>
        <w:t>，</w:t>
      </w:r>
      <w:r>
        <w:rPr>
          <w:rFonts w:hint="eastAsia" w:ascii="Times New Roman" w:hAnsi="Times New Roman" w:eastAsia="仿宋_GB2312" w:cs="Times New Roman"/>
          <w:sz w:val="30"/>
          <w:szCs w:val="30"/>
        </w:rPr>
        <w:t>分布在</w:t>
      </w:r>
      <w:r>
        <w:rPr>
          <w:rFonts w:ascii="Times New Roman" w:hAnsi="Times New Roman" w:eastAsia="仿宋_GB2312" w:cs="Times New Roman"/>
          <w:sz w:val="30"/>
          <w:szCs w:val="30"/>
        </w:rPr>
        <w:t>全省9个地级市23个县（市、区）</w:t>
      </w:r>
      <w:r>
        <w:rPr>
          <w:rFonts w:hint="eastAsia" w:ascii="Times New Roman" w:hAnsi="Times New Roman" w:eastAsia="仿宋_GB2312" w:cs="Times New Roman"/>
          <w:color w:val="000000" w:themeColor="text1"/>
          <w:sz w:val="30"/>
          <w:szCs w:val="30"/>
        </w:rPr>
        <w:t>。其中，</w:t>
      </w:r>
      <w:r>
        <w:rPr>
          <w:rFonts w:ascii="Times New Roman" w:hAnsi="Times New Roman" w:eastAsia="仿宋_GB2312" w:cs="Times New Roman"/>
          <w:color w:val="000000" w:themeColor="text1"/>
          <w:sz w:val="30"/>
          <w:szCs w:val="30"/>
        </w:rPr>
        <w:t>湛江市和汕尾市沙化土地面积最多</w:t>
      </w:r>
      <w:r>
        <w:rPr>
          <w:rFonts w:hint="eastAsia" w:ascii="Times New Roman" w:hAnsi="Times New Roman" w:eastAsia="仿宋_GB2312" w:cs="Times New Roman"/>
          <w:color w:val="000000" w:themeColor="text1"/>
          <w:sz w:val="30"/>
          <w:szCs w:val="30"/>
        </w:rPr>
        <w:t>，分别占沙化土地总面积的</w:t>
      </w:r>
      <w:r>
        <w:rPr>
          <w:rFonts w:ascii="Times New Roman" w:hAnsi="Times New Roman" w:eastAsia="仿宋_GB2312" w:cs="Times New Roman"/>
          <w:color w:val="000000" w:themeColor="text1"/>
          <w:sz w:val="30"/>
          <w:szCs w:val="30"/>
        </w:rPr>
        <w:t>47.40%和24.93%</w:t>
      </w:r>
      <w:r>
        <w:rPr>
          <w:rFonts w:hint="eastAsia" w:ascii="Times New Roman" w:hAnsi="Times New Roman" w:eastAsia="仿宋_GB2312" w:cs="Times New Roman"/>
          <w:color w:val="000000" w:themeColor="text1"/>
          <w:sz w:val="30"/>
          <w:szCs w:val="30"/>
        </w:rPr>
        <w:t>。</w:t>
      </w:r>
    </w:p>
    <w:p>
      <w:pPr>
        <w:pStyle w:val="7"/>
        <w:keepNext/>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表1-</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表1-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1</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r>
        <w:rPr>
          <w:rFonts w:ascii="Times New Roman" w:hAnsi="Times New Roman" w:eastAsia="方正小标宋简体" w:cs="Times New Roman"/>
          <w:kern w:val="0"/>
          <w:sz w:val="28"/>
          <w:szCs w:val="28"/>
        </w:rPr>
        <w:t>广东省</w:t>
      </w:r>
      <w:r>
        <w:rPr>
          <w:rFonts w:hint="eastAsia" w:ascii="Times New Roman" w:hAnsi="Times New Roman" w:eastAsia="方正小标宋简体" w:cs="Times New Roman"/>
          <w:kern w:val="0"/>
          <w:sz w:val="28"/>
          <w:szCs w:val="28"/>
        </w:rPr>
        <w:t>沙化土地分布区域表</w:t>
      </w:r>
    </w:p>
    <w:tbl>
      <w:tblPr>
        <w:tblStyle w:val="26"/>
        <w:tblW w:w="5137" w:type="pct"/>
        <w:jc w:val="center"/>
        <w:tblLayout w:type="autofit"/>
        <w:tblCellMar>
          <w:top w:w="0" w:type="dxa"/>
          <w:left w:w="108" w:type="dxa"/>
          <w:bottom w:w="0" w:type="dxa"/>
          <w:right w:w="108" w:type="dxa"/>
        </w:tblCellMar>
      </w:tblPr>
      <w:tblGrid>
        <w:gridCol w:w="1039"/>
        <w:gridCol w:w="1888"/>
        <w:gridCol w:w="1578"/>
        <w:gridCol w:w="1347"/>
        <w:gridCol w:w="1319"/>
        <w:gridCol w:w="1585"/>
      </w:tblGrid>
      <w:tr>
        <w:tblPrEx>
          <w:tblCellMar>
            <w:top w:w="0" w:type="dxa"/>
            <w:left w:w="108" w:type="dxa"/>
            <w:bottom w:w="0" w:type="dxa"/>
            <w:right w:w="108" w:type="dxa"/>
          </w:tblCellMar>
        </w:tblPrEx>
        <w:trPr>
          <w:trHeight w:val="765" w:hRule="atLeast"/>
          <w:jc w:val="center"/>
        </w:trPr>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地级市</w:t>
            </w:r>
          </w:p>
        </w:tc>
        <w:tc>
          <w:tcPr>
            <w:tcW w:w="107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县（区、市）</w:t>
            </w:r>
          </w:p>
        </w:tc>
        <w:tc>
          <w:tcPr>
            <w:tcW w:w="90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沙化土地面积（公顷）</w:t>
            </w:r>
          </w:p>
        </w:tc>
        <w:tc>
          <w:tcPr>
            <w:tcW w:w="7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地级市</w:t>
            </w:r>
          </w:p>
        </w:tc>
        <w:tc>
          <w:tcPr>
            <w:tcW w:w="7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县（区、市）</w:t>
            </w:r>
          </w:p>
        </w:tc>
        <w:tc>
          <w:tcPr>
            <w:tcW w:w="90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沙化土地面积（公顷）</w:t>
            </w:r>
          </w:p>
        </w:tc>
      </w:tr>
      <w:tr>
        <w:tblPrEx>
          <w:tblCellMar>
            <w:top w:w="0" w:type="dxa"/>
            <w:left w:w="108" w:type="dxa"/>
            <w:bottom w:w="0" w:type="dxa"/>
            <w:right w:w="108" w:type="dxa"/>
          </w:tblCellMar>
        </w:tblPrEx>
        <w:trPr>
          <w:trHeight w:val="285" w:hRule="atLeast"/>
          <w:jc w:val="center"/>
        </w:trPr>
        <w:tc>
          <w:tcPr>
            <w:tcW w:w="5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合计</w:t>
            </w: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Cs w:val="21"/>
              </w:rPr>
            </w:pPr>
            <w:r>
              <w:rPr>
                <w:rFonts w:hint="eastAsia" w:ascii="仿宋_GB2312" w:hAnsi="等线" w:eastAsia="仿宋_GB2312" w:cs="宋体"/>
                <w:b/>
                <w:bCs/>
                <w:color w:val="000000"/>
                <w:kern w:val="0"/>
                <w:szCs w:val="21"/>
              </w:rPr>
              <w:t>　</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33944.7362</w:t>
            </w:r>
          </w:p>
        </w:tc>
        <w:tc>
          <w:tcPr>
            <w:tcW w:w="769" w:type="pct"/>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53" w:type="pct"/>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906" w:type="pct"/>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CellMar>
            <w:top w:w="0" w:type="dxa"/>
            <w:left w:w="108" w:type="dxa"/>
            <w:bottom w:w="0" w:type="dxa"/>
            <w:right w:w="108" w:type="dxa"/>
          </w:tblCellMar>
        </w:tblPrEx>
        <w:trPr>
          <w:trHeight w:val="285" w:hRule="atLeast"/>
          <w:jc w:val="center"/>
        </w:trPr>
        <w:tc>
          <w:tcPr>
            <w:tcW w:w="5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汕头市</w:t>
            </w: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龙湖区</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20.6214</w:t>
            </w:r>
          </w:p>
        </w:tc>
        <w:tc>
          <w:tcPr>
            <w:tcW w:w="76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江门市</w:t>
            </w: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台山市</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88.6694</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濠江区</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325.6581</w:t>
            </w:r>
          </w:p>
        </w:tc>
        <w:tc>
          <w:tcPr>
            <w:tcW w:w="769"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茂名市</w:t>
            </w: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电白区</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1667.8682</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潮阳区</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15.8426</w:t>
            </w:r>
          </w:p>
        </w:tc>
        <w:tc>
          <w:tcPr>
            <w:tcW w:w="76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阳江市</w:t>
            </w: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江城区</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340.8436</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潮南区</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937.6652</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阳东区</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259.6083</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澄海区</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92.2166</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阳西县</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1507.0903</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南澳县</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6.4212</w:t>
            </w:r>
          </w:p>
        </w:tc>
        <w:tc>
          <w:tcPr>
            <w:tcW w:w="76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湛江市</w:t>
            </w: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坡头区</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1899.8035</w:t>
            </w:r>
          </w:p>
        </w:tc>
      </w:tr>
      <w:tr>
        <w:tblPrEx>
          <w:tblCellMar>
            <w:top w:w="0" w:type="dxa"/>
            <w:left w:w="108" w:type="dxa"/>
            <w:bottom w:w="0" w:type="dxa"/>
            <w:right w:w="108" w:type="dxa"/>
          </w:tblCellMar>
        </w:tblPrEx>
        <w:trPr>
          <w:trHeight w:val="285" w:hRule="atLeast"/>
          <w:jc w:val="center"/>
        </w:trPr>
        <w:tc>
          <w:tcPr>
            <w:tcW w:w="59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汕尾市</w:t>
            </w: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城区</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1159.9684</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麻章区</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1133.0739</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海丰县</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380.8539</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遂溪县</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688.0198</w:t>
            </w:r>
          </w:p>
        </w:tc>
      </w:tr>
      <w:tr>
        <w:tblPrEx>
          <w:tblCellMar>
            <w:top w:w="0" w:type="dxa"/>
            <w:left w:w="108" w:type="dxa"/>
            <w:bottom w:w="0" w:type="dxa"/>
            <w:right w:w="108" w:type="dxa"/>
          </w:tblCellMar>
        </w:tblPrEx>
        <w:trPr>
          <w:trHeight w:val="285" w:hRule="atLeast"/>
          <w:jc w:val="center"/>
        </w:trPr>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陆丰市</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6922.7695</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徐闻县</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5864.0871</w:t>
            </w:r>
          </w:p>
        </w:tc>
      </w:tr>
      <w:tr>
        <w:tblPrEx>
          <w:tblCellMar>
            <w:top w:w="0" w:type="dxa"/>
            <w:left w:w="108" w:type="dxa"/>
            <w:bottom w:w="0" w:type="dxa"/>
            <w:right w:w="108" w:type="dxa"/>
          </w:tblCellMar>
        </w:tblPrEx>
        <w:trPr>
          <w:trHeight w:val="285" w:hRule="atLeast"/>
          <w:jc w:val="center"/>
        </w:trPr>
        <w:tc>
          <w:tcPr>
            <w:tcW w:w="5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惠州市</w:t>
            </w: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惠东县</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44.5201</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雷州市</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4952.0953</w:t>
            </w:r>
          </w:p>
        </w:tc>
      </w:tr>
      <w:tr>
        <w:tblPrEx>
          <w:tblCellMar>
            <w:top w:w="0" w:type="dxa"/>
            <w:left w:w="108" w:type="dxa"/>
            <w:bottom w:w="0" w:type="dxa"/>
            <w:right w:w="108" w:type="dxa"/>
          </w:tblCellMar>
        </w:tblPrEx>
        <w:trPr>
          <w:trHeight w:val="285" w:hRule="atLeast"/>
          <w:jc w:val="center"/>
        </w:trPr>
        <w:tc>
          <w:tcPr>
            <w:tcW w:w="5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揭阳市</w:t>
            </w: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惠来县</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3161.6276</w:t>
            </w:r>
          </w:p>
        </w:tc>
        <w:tc>
          <w:tcPr>
            <w:tcW w:w="769" w:type="pct"/>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等线" w:eastAsia="仿宋_GB2312" w:cs="宋体"/>
                <w:color w:val="000000"/>
                <w:kern w:val="0"/>
                <w:szCs w:val="21"/>
              </w:rPr>
            </w:pPr>
          </w:p>
        </w:tc>
        <w:tc>
          <w:tcPr>
            <w:tcW w:w="753"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吴川市</w:t>
            </w:r>
          </w:p>
        </w:tc>
        <w:tc>
          <w:tcPr>
            <w:tcW w:w="906"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1553.2586</w:t>
            </w:r>
          </w:p>
        </w:tc>
      </w:tr>
      <w:tr>
        <w:tblPrEx>
          <w:tblCellMar>
            <w:top w:w="0" w:type="dxa"/>
            <w:left w:w="108" w:type="dxa"/>
            <w:bottom w:w="0" w:type="dxa"/>
            <w:right w:w="108" w:type="dxa"/>
          </w:tblCellMar>
        </w:tblPrEx>
        <w:trPr>
          <w:trHeight w:val="285" w:hRule="atLeast"/>
          <w:jc w:val="center"/>
        </w:trPr>
        <w:tc>
          <w:tcPr>
            <w:tcW w:w="59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潮州市</w:t>
            </w:r>
          </w:p>
        </w:tc>
        <w:tc>
          <w:tcPr>
            <w:tcW w:w="1078" w:type="pct"/>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饶平县</w:t>
            </w:r>
          </w:p>
        </w:tc>
        <w:tc>
          <w:tcPr>
            <w:tcW w:w="90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922.1536</w:t>
            </w:r>
          </w:p>
        </w:tc>
        <w:tc>
          <w:tcPr>
            <w:tcW w:w="769" w:type="pct"/>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753" w:type="pct"/>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906" w:type="pct"/>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bl>
    <w:p>
      <w:pPr>
        <w:spacing w:after="156" w:afterLines="50" w:line="560" w:lineRule="exact"/>
        <w:ind w:firstLine="600" w:firstLineChars="200"/>
        <w:rPr>
          <w:rFonts w:ascii="Times New Roman" w:hAnsi="Times New Roman" w:eastAsia="仿宋_GB2312" w:cs="Times New Roman"/>
          <w:color w:val="000000" w:themeColor="text1"/>
          <w:sz w:val="30"/>
          <w:szCs w:val="30"/>
        </w:rPr>
      </w:pPr>
    </w:p>
    <w:p>
      <w:pPr>
        <w:keepNext/>
        <w:jc w:val="center"/>
      </w:pPr>
      <w:r>
        <w:drawing>
          <wp:inline distT="0" distB="0" distL="0" distR="0">
            <wp:extent cx="5306060" cy="37515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6671" cy="3751580"/>
                    </a:xfrm>
                    <a:prstGeom prst="rect">
                      <a:avLst/>
                    </a:prstGeom>
                    <a:noFill/>
                    <a:ln>
                      <a:noFill/>
                    </a:ln>
                  </pic:spPr>
                </pic:pic>
              </a:graphicData>
            </a:graphic>
          </wp:inline>
        </w:drawing>
      </w:r>
    </w:p>
    <w:p>
      <w:pPr>
        <w:pStyle w:val="7"/>
        <w:spacing w:after="156" w:afterLines="50" w:line="560" w:lineRule="exact"/>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图1-</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图1-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1</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广东省沙化土地监测区域分布示意图</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一直以来，广东省委、省政府高度重视生态建设和林业发展，对沿海地区防沙治沙工作重要性的认识不断提高和深化，坚持工程带动，多措并举，全面完成上期规划的目标和任务，使沙化土地面积持续减少、沙化程度持续减轻、植被盖度持续增加，沙化区域生态环境得到进一步优化，人民群众生活水平稳步提高，防沙治沙工作取得明显成效。</w:t>
      </w:r>
    </w:p>
    <w:p>
      <w:pPr>
        <w:pStyle w:val="3"/>
        <w:numPr>
          <w:ilvl w:val="0"/>
          <w:numId w:val="7"/>
        </w:numPr>
        <w:spacing w:before="156" w:beforeLines="50" w:after="156" w:afterLines="50" w:line="276" w:lineRule="auto"/>
        <w:ind w:left="0" w:firstLine="640" w:firstLineChars="200"/>
        <w:rPr>
          <w:rFonts w:eastAsia="楷体"/>
          <w:b w:val="0"/>
          <w:bCs w:val="0"/>
          <w:sz w:val="32"/>
          <w:szCs w:val="32"/>
        </w:rPr>
      </w:pPr>
      <w:bookmarkStart w:id="6" w:name="_Toc130845556"/>
      <w:r>
        <w:rPr>
          <w:rFonts w:hint="eastAsia" w:eastAsia="楷体"/>
          <w:b w:val="0"/>
          <w:bCs w:val="0"/>
          <w:sz w:val="32"/>
          <w:szCs w:val="32"/>
        </w:rPr>
        <w:t>防沙治沙成效明显</w:t>
      </w:r>
      <w:bookmarkEnd w:id="6"/>
    </w:p>
    <w:p>
      <w:pPr>
        <w:pStyle w:val="5"/>
        <w:numPr>
          <w:ilvl w:val="0"/>
          <w:numId w:val="8"/>
        </w:numPr>
        <w:spacing w:before="156" w:beforeLines="50" w:after="156" w:afterLines="50" w:line="240" w:lineRule="auto"/>
        <w:ind w:left="0" w:firstLine="600" w:firstLineChars="200"/>
        <w:rPr>
          <w:rFonts w:eastAsia="仿宋_GB2312"/>
          <w:b w:val="0"/>
          <w:bCs w:val="0"/>
        </w:rPr>
      </w:pPr>
      <w:bookmarkStart w:id="7" w:name="_Toc130199775"/>
      <w:bookmarkStart w:id="8" w:name="_Toc130453129"/>
      <w:bookmarkStart w:id="9" w:name="_Toc129795556"/>
      <w:bookmarkStart w:id="10" w:name="_Toc130837904"/>
      <w:bookmarkStart w:id="11" w:name="_Toc130845557"/>
      <w:r>
        <w:rPr>
          <w:rFonts w:hint="eastAsia" w:eastAsia="仿宋_GB2312"/>
          <w:b w:val="0"/>
          <w:bCs w:val="0"/>
        </w:rPr>
        <w:t>工程措施成效显著</w:t>
      </w:r>
      <w:r>
        <w:rPr>
          <w:rStyle w:val="33"/>
          <w:rFonts w:eastAsia="仿宋_GB2312"/>
          <w:b w:val="0"/>
          <w:bCs w:val="0"/>
        </w:rPr>
        <w:footnoteReference w:id="0"/>
      </w:r>
      <w:bookmarkEnd w:id="7"/>
      <w:bookmarkEnd w:id="8"/>
      <w:bookmarkEnd w:id="9"/>
      <w:bookmarkEnd w:id="10"/>
      <w:bookmarkEnd w:id="11"/>
    </w:p>
    <w:p>
      <w:pPr>
        <w:pStyle w:val="4"/>
        <w:numPr>
          <w:ilvl w:val="0"/>
          <w:numId w:val="9"/>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沿海防护林体系建设</w:t>
      </w:r>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2013年以来，广东进一步加大了沿海防护林体系建设力度，以建立基干林带和纵深防护林体系为重点，共完成沿海防护林工程18.44万公顷，其中人工造林7.72万公顷，封山育林10.72万公顷。沿海防护林体系日趋完善，宜林海岸线绿化率</w:t>
      </w:r>
      <w:r>
        <w:rPr>
          <w:rFonts w:hint="eastAsia" w:ascii="Times New Roman" w:hAnsi="Times New Roman" w:eastAsia="仿宋_GB2312" w:cs="Times New Roman"/>
          <w:color w:val="000000" w:themeColor="text1"/>
          <w:sz w:val="30"/>
          <w:szCs w:val="30"/>
        </w:rPr>
        <w:t>9</w:t>
      </w:r>
      <w:r>
        <w:rPr>
          <w:rFonts w:ascii="Times New Roman" w:hAnsi="Times New Roman" w:eastAsia="仿宋_GB2312" w:cs="Times New Roman"/>
          <w:color w:val="000000" w:themeColor="text1"/>
          <w:sz w:val="30"/>
          <w:szCs w:val="30"/>
        </w:rPr>
        <w:t>0%</w:t>
      </w:r>
      <w:r>
        <w:rPr>
          <w:rFonts w:hint="eastAsia" w:ascii="Times New Roman" w:hAnsi="Times New Roman" w:eastAsia="仿宋_GB2312" w:cs="Times New Roman"/>
          <w:color w:val="000000" w:themeColor="text1"/>
          <w:sz w:val="30"/>
          <w:szCs w:val="30"/>
        </w:rPr>
        <w:t>以上</w:t>
      </w:r>
      <w:r>
        <w:rPr>
          <w:rFonts w:ascii="Times New Roman" w:hAnsi="Times New Roman" w:eastAsia="仿宋_GB2312" w:cs="Times New Roman"/>
          <w:color w:val="000000" w:themeColor="text1"/>
          <w:sz w:val="30"/>
          <w:szCs w:val="30"/>
        </w:rPr>
        <w:t>，已建成的</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山、海、路、田、城</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相连的防护林体系框架，成为沿海地区防御台风、风暴潮、海啸等自然灾害的绿色生态屏障</w:t>
      </w:r>
      <w:r>
        <w:rPr>
          <w:rFonts w:hint="eastAsia" w:ascii="Times New Roman" w:hAnsi="Times New Roman" w:eastAsia="仿宋_GB2312" w:cs="Times New Roman"/>
          <w:color w:val="000000" w:themeColor="text1"/>
          <w:sz w:val="30"/>
          <w:szCs w:val="30"/>
        </w:rPr>
        <w:t>，2</w:t>
      </w:r>
      <w:r>
        <w:rPr>
          <w:rFonts w:ascii="Times New Roman" w:hAnsi="Times New Roman" w:eastAsia="仿宋_GB2312" w:cs="Times New Roman"/>
          <w:color w:val="000000" w:themeColor="text1"/>
          <w:sz w:val="30"/>
          <w:szCs w:val="30"/>
        </w:rPr>
        <w:t>.2</w:t>
      </w:r>
      <w:r>
        <w:rPr>
          <w:rFonts w:hint="eastAsia" w:ascii="Times New Roman" w:hAnsi="Times New Roman" w:eastAsia="仿宋_GB2312" w:cs="Times New Roman"/>
          <w:color w:val="000000" w:themeColor="text1"/>
          <w:sz w:val="30"/>
          <w:szCs w:val="30"/>
        </w:rPr>
        <w:t>万公顷以上的沙化土地得到治理。</w:t>
      </w:r>
    </w:p>
    <w:p>
      <w:pPr>
        <w:pStyle w:val="4"/>
        <w:numPr>
          <w:ilvl w:val="0"/>
          <w:numId w:val="9"/>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沙化耕地整治</w:t>
      </w:r>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2013年以来，全省沿海沙区生态状况得到明显改善，基本实现沙退林进。通过采取轮作、种植水稻、种植绿肥、保护性耕作以及其它农业措施，过去被风沙埋没的1.3万公顷农田得到复耕，6.5万公顷的沙地变成了良田，粮食单产增加3～4倍。尤其是通过种植绿肥，改善沙化土地土壤性质，提高土壤肥力，增加了作物产量。</w:t>
      </w:r>
    </w:p>
    <w:p>
      <w:pPr>
        <w:pStyle w:val="4"/>
        <w:numPr>
          <w:ilvl w:val="0"/>
          <w:numId w:val="9"/>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生态旅游发展</w:t>
      </w:r>
    </w:p>
    <w:p>
      <w:pPr>
        <w:spacing w:line="560" w:lineRule="exact"/>
        <w:ind w:firstLine="600" w:firstLineChars="200"/>
        <w:rPr>
          <w:rFonts w:hint="eastAsia" w:ascii="Times New Roman" w:hAnsi="Times New Roman" w:eastAsia="仿宋_GB2312" w:cs="Times New Roman"/>
          <w:color w:val="000000" w:themeColor="text1"/>
          <w:sz w:val="30"/>
          <w:szCs w:val="30"/>
          <w:lang w:eastAsia="zh-CN"/>
        </w:rPr>
      </w:pPr>
      <w:r>
        <w:rPr>
          <w:rFonts w:hint="eastAsia" w:ascii="Times New Roman" w:hAnsi="Times New Roman" w:eastAsia="仿宋_GB2312" w:cs="Times New Roman"/>
          <w:color w:val="000000" w:themeColor="text1"/>
          <w:sz w:val="30"/>
          <w:szCs w:val="30"/>
        </w:rPr>
        <w:t>全省沙化地区内，部分市（县、区）通过沙化治理，不仅提高了沿海地区森林生态功能和防灾减灾能力、改善人居生态环境，沿海防护林的景观也成为远近闻名的旅游打卡地，如：</w:t>
      </w:r>
      <w:r>
        <w:rPr>
          <w:rFonts w:ascii="Times New Roman" w:hAnsi="Times New Roman" w:eastAsia="仿宋_GB2312" w:cs="Times New Roman"/>
          <w:color w:val="000000" w:themeColor="text1"/>
          <w:sz w:val="30"/>
          <w:szCs w:val="30"/>
        </w:rPr>
        <w:t>南澳青澳湾</w:t>
      </w:r>
      <w:r>
        <w:rPr>
          <w:rFonts w:hint="eastAsia" w:ascii="Times New Roman" w:hAnsi="Times New Roman" w:eastAsia="仿宋_GB2312" w:cs="Times New Roman"/>
          <w:color w:val="000000" w:themeColor="text1"/>
          <w:sz w:val="30"/>
          <w:szCs w:val="30"/>
        </w:rPr>
        <w:t>、茂名博贺林带、</w:t>
      </w:r>
      <w:r>
        <w:rPr>
          <w:rFonts w:ascii="Times New Roman" w:hAnsi="Times New Roman" w:eastAsia="仿宋_GB2312" w:cs="Times New Roman"/>
          <w:color w:val="000000" w:themeColor="text1"/>
          <w:sz w:val="30"/>
          <w:szCs w:val="30"/>
        </w:rPr>
        <w:t>电白虎头山、台山川山群岛等，年接待游客上千万人次，</w:t>
      </w:r>
      <w:r>
        <w:rPr>
          <w:rFonts w:hint="eastAsia" w:ascii="Times New Roman" w:hAnsi="Times New Roman" w:eastAsia="仿宋_GB2312" w:cs="Times New Roman"/>
          <w:color w:val="000000" w:themeColor="text1"/>
          <w:sz w:val="30"/>
          <w:szCs w:val="30"/>
          <w:lang w:eastAsia="zh-CN"/>
        </w:rPr>
        <w:t>大大增加了</w:t>
      </w:r>
      <w:r>
        <w:rPr>
          <w:rFonts w:ascii="Times New Roman" w:hAnsi="Times New Roman" w:eastAsia="仿宋_GB2312" w:cs="Times New Roman"/>
          <w:color w:val="000000" w:themeColor="text1"/>
          <w:sz w:val="30"/>
          <w:szCs w:val="30"/>
        </w:rPr>
        <w:t>当地农民的收入</w:t>
      </w:r>
      <w:r>
        <w:rPr>
          <w:rFonts w:hint="eastAsia" w:ascii="Times New Roman" w:hAnsi="Times New Roman" w:eastAsia="仿宋_GB2312" w:cs="Times New Roman"/>
          <w:color w:val="000000" w:themeColor="text1"/>
          <w:sz w:val="30"/>
          <w:szCs w:val="30"/>
          <w:lang w:eastAsia="zh-CN"/>
        </w:rPr>
        <w:t>，经济社会效益明显。</w:t>
      </w:r>
    </w:p>
    <w:p>
      <w:pPr>
        <w:pStyle w:val="5"/>
        <w:numPr>
          <w:ilvl w:val="0"/>
          <w:numId w:val="8"/>
        </w:numPr>
        <w:spacing w:before="156" w:beforeLines="50" w:after="156" w:afterLines="50" w:line="240" w:lineRule="auto"/>
        <w:ind w:left="0" w:firstLine="600" w:firstLineChars="200"/>
        <w:rPr>
          <w:rFonts w:eastAsia="仿宋_GB2312"/>
          <w:b w:val="0"/>
          <w:bCs w:val="0"/>
        </w:rPr>
      </w:pPr>
      <w:bookmarkStart w:id="12" w:name="_Toc129795557"/>
      <w:bookmarkStart w:id="13" w:name="_Toc130453130"/>
      <w:bookmarkStart w:id="14" w:name="_Toc130199776"/>
      <w:bookmarkStart w:id="15" w:name="_Toc130837905"/>
      <w:bookmarkStart w:id="16" w:name="_Toc130845558"/>
      <w:r>
        <w:rPr>
          <w:rFonts w:hint="eastAsia" w:eastAsia="仿宋_GB2312"/>
          <w:b w:val="0"/>
          <w:bCs w:val="0"/>
        </w:rPr>
        <w:t>防沙治沙体系日臻完善</w:t>
      </w:r>
      <w:bookmarkEnd w:id="12"/>
      <w:bookmarkEnd w:id="13"/>
      <w:bookmarkEnd w:id="14"/>
      <w:bookmarkEnd w:id="15"/>
      <w:bookmarkEnd w:id="16"/>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通过沿海防护林体系建设、沙化耕地整治和生态产业建设，形成防沙治沙主要工程建设体系，支撑防沙治沙工作顺利实施；以第三次全国国土调查数据为本底，建立沙化监测体系，</w:t>
      </w:r>
      <w:r>
        <w:rPr>
          <w:rFonts w:ascii="Times New Roman" w:hAnsi="Times New Roman" w:eastAsia="仿宋_GB2312" w:cs="Times New Roman"/>
          <w:color w:val="000000" w:themeColor="text1"/>
          <w:sz w:val="30"/>
          <w:szCs w:val="30"/>
        </w:rPr>
        <w:t>为</w:t>
      </w:r>
      <w:r>
        <w:rPr>
          <w:rFonts w:hint="eastAsia" w:ascii="Times New Roman" w:hAnsi="Times New Roman" w:eastAsia="仿宋_GB2312" w:cs="Times New Roman"/>
          <w:color w:val="000000" w:themeColor="text1"/>
          <w:sz w:val="30"/>
          <w:szCs w:val="30"/>
        </w:rPr>
        <w:t>防治</w:t>
      </w:r>
      <w:r>
        <w:rPr>
          <w:rFonts w:ascii="Times New Roman" w:hAnsi="Times New Roman" w:eastAsia="仿宋_GB2312" w:cs="Times New Roman"/>
          <w:color w:val="000000" w:themeColor="text1"/>
          <w:sz w:val="30"/>
          <w:szCs w:val="30"/>
        </w:rPr>
        <w:t>决策提供科学依据</w:t>
      </w:r>
      <w:r>
        <w:rPr>
          <w:rFonts w:hint="eastAsia" w:ascii="Times New Roman" w:hAnsi="Times New Roman" w:eastAsia="仿宋_GB2312" w:cs="Times New Roman"/>
          <w:color w:val="000000" w:themeColor="text1"/>
          <w:sz w:val="30"/>
          <w:szCs w:val="30"/>
        </w:rPr>
        <w:t>。</w:t>
      </w:r>
    </w:p>
    <w:p>
      <w:pPr>
        <w:pStyle w:val="5"/>
        <w:numPr>
          <w:ilvl w:val="0"/>
          <w:numId w:val="8"/>
        </w:numPr>
        <w:spacing w:before="156" w:beforeLines="50" w:after="156" w:afterLines="50" w:line="240" w:lineRule="auto"/>
        <w:ind w:left="0" w:firstLine="600" w:firstLineChars="200"/>
        <w:rPr>
          <w:rFonts w:eastAsia="仿宋_GB2312"/>
          <w:b w:val="0"/>
          <w:bCs w:val="0"/>
        </w:rPr>
      </w:pPr>
      <w:bookmarkStart w:id="17" w:name="_Toc130453131"/>
      <w:bookmarkStart w:id="18" w:name="_Toc129795558"/>
      <w:bookmarkStart w:id="19" w:name="_Toc130837906"/>
      <w:bookmarkStart w:id="20" w:name="_Toc130199777"/>
      <w:bookmarkStart w:id="21" w:name="_Toc130845559"/>
      <w:r>
        <w:rPr>
          <w:rFonts w:hint="eastAsia" w:eastAsia="仿宋_GB2312"/>
          <w:b w:val="0"/>
          <w:bCs w:val="0"/>
        </w:rPr>
        <w:t>生态状况持续改善</w:t>
      </w:r>
      <w:bookmarkEnd w:id="17"/>
      <w:bookmarkEnd w:id="18"/>
      <w:bookmarkEnd w:id="19"/>
      <w:bookmarkEnd w:id="20"/>
      <w:bookmarkEnd w:id="21"/>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根据</w:t>
      </w:r>
      <w:r>
        <w:rPr>
          <w:rFonts w:hint="eastAsia" w:ascii="Times New Roman" w:hAnsi="Times New Roman" w:eastAsia="仿宋_GB2312" w:cs="Times New Roman"/>
          <w:color w:val="000000" w:themeColor="text1"/>
          <w:sz w:val="30"/>
          <w:szCs w:val="30"/>
        </w:rPr>
        <w:t>第六次沙化土地</w:t>
      </w:r>
      <w:r>
        <w:rPr>
          <w:rFonts w:ascii="Times New Roman" w:hAnsi="Times New Roman" w:eastAsia="仿宋_GB2312" w:cs="Times New Roman"/>
          <w:color w:val="000000" w:themeColor="text1"/>
          <w:sz w:val="30"/>
          <w:szCs w:val="30"/>
        </w:rPr>
        <w:t>监测结果</w:t>
      </w:r>
      <w:r>
        <w:rPr>
          <w:rFonts w:hint="eastAsia" w:ascii="Times New Roman" w:hAnsi="Times New Roman" w:eastAsia="仿宋_GB2312" w:cs="Times New Roman"/>
          <w:color w:val="000000" w:themeColor="text1"/>
          <w:sz w:val="30"/>
          <w:szCs w:val="30"/>
        </w:rPr>
        <w:t>与前期相比</w:t>
      </w:r>
      <w:r>
        <w:rPr>
          <w:rFonts w:ascii="Times New Roman" w:hAnsi="Times New Roman" w:eastAsia="仿宋_GB2312" w:cs="Times New Roman"/>
          <w:color w:val="000000" w:themeColor="text1"/>
          <w:sz w:val="30"/>
          <w:szCs w:val="30"/>
        </w:rPr>
        <w:t>，沙化土地面积减少</w:t>
      </w:r>
      <w:r>
        <w:rPr>
          <w:rFonts w:hint="eastAsia" w:ascii="Times New Roman" w:hAnsi="Times New Roman" w:eastAsia="仿宋_GB2312" w:cs="Times New Roman"/>
          <w:color w:val="000000" w:themeColor="text1"/>
          <w:sz w:val="30"/>
          <w:szCs w:val="30"/>
        </w:rPr>
        <w:t>了</w:t>
      </w:r>
      <w:r>
        <w:rPr>
          <w:rFonts w:ascii="Times New Roman" w:hAnsi="Times New Roman" w:eastAsia="仿宋_GB2312" w:cs="Times New Roman"/>
          <w:color w:val="000000" w:themeColor="text1"/>
          <w:sz w:val="30"/>
          <w:szCs w:val="30"/>
        </w:rPr>
        <w:t>19874.8738公顷，减幅为36.93%。</w:t>
      </w:r>
      <w:r>
        <w:rPr>
          <w:rFonts w:hint="eastAsia" w:ascii="Times New Roman" w:hAnsi="Times New Roman" w:eastAsia="仿宋_GB2312" w:cs="Times New Roman"/>
          <w:color w:val="000000" w:themeColor="text1"/>
          <w:sz w:val="30"/>
          <w:szCs w:val="30"/>
        </w:rPr>
        <w:t>人工固定沙地所占比例远大于天然固定沙地，这主要是因为广东省是通过人工造林治理沙化土地。与此同时，沙化程度也逐步减轻，主要以轻度为主，</w:t>
      </w:r>
      <w:r>
        <w:rPr>
          <w:rFonts w:ascii="Times New Roman" w:hAnsi="Times New Roman" w:eastAsia="仿宋_GB2312" w:cs="Times New Roman"/>
          <w:color w:val="000000" w:themeColor="text1"/>
          <w:sz w:val="30"/>
          <w:szCs w:val="30"/>
        </w:rPr>
        <w:t>占比由94.19%增加到98.93%</w:t>
      </w:r>
      <w:r>
        <w:rPr>
          <w:rFonts w:hint="eastAsia" w:ascii="Times New Roman" w:hAnsi="Times New Roman" w:eastAsia="仿宋_GB2312" w:cs="Times New Roman"/>
          <w:color w:val="000000" w:themeColor="text1"/>
          <w:sz w:val="30"/>
          <w:szCs w:val="30"/>
        </w:rPr>
        <w:t>，土地植被总盖度不断增加，占比由</w:t>
      </w:r>
      <w:r>
        <w:rPr>
          <w:rFonts w:ascii="Times New Roman" w:hAnsi="Times New Roman" w:eastAsia="仿宋_GB2312" w:cs="Times New Roman"/>
          <w:color w:val="000000" w:themeColor="text1"/>
          <w:sz w:val="30"/>
          <w:szCs w:val="30"/>
        </w:rPr>
        <w:t>64.90%增加到80.32%</w:t>
      </w:r>
      <w:r>
        <w:rPr>
          <w:rFonts w:hint="eastAsia" w:ascii="Times New Roman" w:hAnsi="Times New Roman" w:eastAsia="仿宋_GB2312" w:cs="Times New Roman"/>
          <w:color w:val="000000" w:themeColor="text1"/>
          <w:sz w:val="30"/>
          <w:szCs w:val="30"/>
        </w:rPr>
        <w:t>，治沙效果明显。</w:t>
      </w:r>
    </w:p>
    <w:p>
      <w:pPr>
        <w:keepNext/>
        <w:jc w:val="center"/>
      </w:pPr>
      <w:r>
        <w:rPr>
          <w:rFonts w:ascii="Times New Roman" w:hAnsi="Times New Roman" w:cs="Times New Roman"/>
        </w:rPr>
        <w:drawing>
          <wp:inline distT="0" distB="0" distL="0" distR="0">
            <wp:extent cx="5191125" cy="2780665"/>
            <wp:effectExtent l="0" t="0" r="0" b="0"/>
            <wp:docPr id="2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7"/>
        <w:spacing w:after="156" w:after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图1-</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图2-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2</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w:t>
      </w:r>
      <w:r>
        <w:rPr>
          <w:rFonts w:hint="eastAsia" w:ascii="Times New Roman" w:hAnsi="Times New Roman" w:eastAsia="方正小标宋简体" w:cs="Times New Roman"/>
          <w:sz w:val="28"/>
          <w:szCs w:val="28"/>
        </w:rPr>
        <w:t>广东省沙化土地变化趋势图</w:t>
      </w:r>
    </w:p>
    <w:p>
      <w:pPr>
        <w:pStyle w:val="3"/>
        <w:numPr>
          <w:ilvl w:val="0"/>
          <w:numId w:val="7"/>
        </w:numPr>
        <w:spacing w:before="156" w:beforeLines="50" w:after="156" w:afterLines="50" w:line="276" w:lineRule="auto"/>
        <w:ind w:left="0" w:firstLine="640" w:firstLineChars="200"/>
        <w:rPr>
          <w:rFonts w:eastAsia="楷体"/>
          <w:b w:val="0"/>
          <w:bCs w:val="0"/>
          <w:sz w:val="32"/>
          <w:szCs w:val="32"/>
        </w:rPr>
      </w:pPr>
      <w:bookmarkStart w:id="22" w:name="_Toc130845560"/>
      <w:r>
        <w:rPr>
          <w:rFonts w:hint="eastAsia" w:eastAsia="楷体"/>
          <w:b w:val="0"/>
          <w:bCs w:val="0"/>
          <w:sz w:val="32"/>
          <w:szCs w:val="32"/>
        </w:rPr>
        <w:t>面临挑战</w:t>
      </w:r>
      <w:bookmarkEnd w:id="22"/>
    </w:p>
    <w:p>
      <w:pPr>
        <w:pStyle w:val="5"/>
        <w:numPr>
          <w:ilvl w:val="0"/>
          <w:numId w:val="10"/>
        </w:numPr>
        <w:spacing w:before="156" w:beforeLines="50" w:after="156" w:afterLines="50" w:line="240" w:lineRule="auto"/>
        <w:ind w:left="0" w:firstLine="600" w:firstLineChars="200"/>
        <w:rPr>
          <w:rFonts w:eastAsia="仿宋_GB2312"/>
          <w:b w:val="0"/>
          <w:bCs w:val="0"/>
        </w:rPr>
      </w:pPr>
      <w:bookmarkStart w:id="23" w:name="_Toc129795574"/>
      <w:bookmarkStart w:id="24" w:name="_Toc130845561"/>
      <w:bookmarkStart w:id="25" w:name="_Toc130837908"/>
      <w:bookmarkStart w:id="26" w:name="_Toc130199779"/>
      <w:bookmarkStart w:id="27" w:name="_Toc130453133"/>
      <w:r>
        <w:rPr>
          <w:rFonts w:hint="eastAsia" w:eastAsia="仿宋_GB2312"/>
          <w:b w:val="0"/>
          <w:bCs w:val="0"/>
        </w:rPr>
        <w:t>巩固治沙成果难度加大</w:t>
      </w:r>
      <w:bookmarkEnd w:id="23"/>
      <w:bookmarkEnd w:id="24"/>
      <w:bookmarkEnd w:id="25"/>
      <w:bookmarkEnd w:id="26"/>
      <w:bookmarkEnd w:id="27"/>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多年来，受自然灾害、人为和病虫害等因素影响，沿海沙区植被遭到了一定程度的损坏，为巩固防沙治沙成果增添了难度。一是受自然灾害影响，沿海沙区植被在抗御强热带风暴和台风的袭击过程中，遭到不同程度破坏，林带产生多处缺口，恢复难度大，成本高。二是人为隐患较多。沙化土地是沿海防护林建设的重要用地，然而受经济利益驱动，沿海地区群众开矿</w:t>
      </w:r>
      <w:r>
        <w:rPr>
          <w:rFonts w:ascii="Times New Roman" w:hAnsi="Times New Roman" w:eastAsia="仿宋_GB2312" w:cs="Times New Roman"/>
          <w:color w:val="000000" w:themeColor="text1"/>
          <w:sz w:val="30"/>
          <w:szCs w:val="30"/>
        </w:rPr>
        <w:t>挖沙、</w:t>
      </w:r>
      <w:r>
        <w:rPr>
          <w:rFonts w:hint="eastAsia" w:ascii="Times New Roman" w:hAnsi="Times New Roman" w:eastAsia="仿宋_GB2312" w:cs="Times New Roman"/>
          <w:color w:val="000000" w:themeColor="text1"/>
          <w:sz w:val="30"/>
          <w:szCs w:val="30"/>
        </w:rPr>
        <w:t>水产养殖、畜牧养殖、</w:t>
      </w:r>
      <w:r>
        <w:rPr>
          <w:rFonts w:ascii="Times New Roman" w:hAnsi="Times New Roman" w:eastAsia="仿宋_GB2312" w:cs="Times New Roman"/>
          <w:color w:val="000000" w:themeColor="text1"/>
          <w:sz w:val="30"/>
          <w:szCs w:val="30"/>
        </w:rPr>
        <w:t>取土</w:t>
      </w:r>
      <w:r>
        <w:rPr>
          <w:rFonts w:hint="eastAsia" w:ascii="Times New Roman" w:hAnsi="Times New Roman" w:eastAsia="仿宋_GB2312" w:cs="Times New Roman"/>
          <w:color w:val="000000" w:themeColor="text1"/>
          <w:sz w:val="30"/>
          <w:szCs w:val="30"/>
        </w:rPr>
        <w:t>、非法占用防护林</w:t>
      </w:r>
      <w:r>
        <w:rPr>
          <w:rFonts w:ascii="Times New Roman" w:hAnsi="Times New Roman" w:eastAsia="仿宋_GB2312" w:cs="Times New Roman"/>
          <w:color w:val="000000" w:themeColor="text1"/>
          <w:sz w:val="30"/>
          <w:szCs w:val="30"/>
        </w:rPr>
        <w:t>等破坏沿海土地植被的现象屡禁不止</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沿海</w:t>
      </w:r>
      <w:r>
        <w:rPr>
          <w:rFonts w:hint="eastAsia" w:ascii="Times New Roman" w:hAnsi="Times New Roman" w:eastAsia="仿宋_GB2312" w:cs="Times New Roman"/>
          <w:color w:val="000000" w:themeColor="text1"/>
          <w:sz w:val="30"/>
          <w:szCs w:val="30"/>
        </w:rPr>
        <w:t>沙</w:t>
      </w:r>
      <w:r>
        <w:rPr>
          <w:rFonts w:ascii="Times New Roman" w:hAnsi="Times New Roman" w:eastAsia="仿宋_GB2312" w:cs="Times New Roman"/>
          <w:color w:val="000000" w:themeColor="text1"/>
          <w:sz w:val="30"/>
          <w:szCs w:val="30"/>
        </w:rPr>
        <w:t>地用于开发建设的现象频频发生，</w:t>
      </w:r>
      <w:r>
        <w:rPr>
          <w:rFonts w:hint="eastAsia" w:ascii="Times New Roman" w:hAnsi="Times New Roman" w:eastAsia="仿宋_GB2312" w:cs="Times New Roman"/>
          <w:color w:val="000000" w:themeColor="text1"/>
          <w:sz w:val="30"/>
          <w:szCs w:val="30"/>
        </w:rPr>
        <w:t>且监督管理不到位，</w:t>
      </w:r>
      <w:r>
        <w:rPr>
          <w:rFonts w:ascii="Times New Roman" w:hAnsi="Times New Roman" w:eastAsia="仿宋_GB2312" w:cs="Times New Roman"/>
          <w:color w:val="000000" w:themeColor="text1"/>
          <w:sz w:val="30"/>
          <w:szCs w:val="30"/>
        </w:rPr>
        <w:t>造成沿海防护林不断被占用或蚕食</w:t>
      </w:r>
      <w:r>
        <w:rPr>
          <w:rFonts w:hint="eastAsia" w:ascii="Times New Roman" w:hAnsi="Times New Roman" w:eastAsia="仿宋_GB2312" w:cs="Times New Roman"/>
          <w:color w:val="000000" w:themeColor="text1"/>
          <w:sz w:val="30"/>
          <w:szCs w:val="30"/>
        </w:rPr>
        <w:t>，保护和利用矛盾依然突出，森林管护工作仍有待加强</w:t>
      </w:r>
      <w:r>
        <w:rPr>
          <w:rFonts w:ascii="Times New Roman" w:hAnsi="Times New Roman" w:eastAsia="仿宋_GB2312" w:cs="Times New Roman"/>
          <w:color w:val="000000" w:themeColor="text1"/>
          <w:sz w:val="30"/>
          <w:szCs w:val="30"/>
        </w:rPr>
        <w:t>。</w:t>
      </w:r>
      <w:r>
        <w:rPr>
          <w:rFonts w:hint="eastAsia" w:ascii="Times New Roman" w:hAnsi="Times New Roman" w:eastAsia="仿宋_GB2312" w:cs="Times New Roman"/>
          <w:color w:val="000000" w:themeColor="text1"/>
          <w:sz w:val="30"/>
          <w:szCs w:val="30"/>
        </w:rPr>
        <w:t>三是病虫害隐患依然存在。沿海地区繁荣的经贸活动和发达的物流业导致林业有害生物跨区域传播的风险越来越高，一些地方病虫害检疫和预防工作不到位，导致木麻黄青枯病、松材线虫等病害难以有效控制，防控形势日趋严峻。</w:t>
      </w:r>
    </w:p>
    <w:p>
      <w:pPr>
        <w:pStyle w:val="5"/>
        <w:numPr>
          <w:ilvl w:val="0"/>
          <w:numId w:val="10"/>
        </w:numPr>
        <w:spacing w:before="156" w:beforeLines="50" w:after="156" w:afterLines="50" w:line="240" w:lineRule="auto"/>
        <w:ind w:left="0" w:firstLine="600" w:firstLineChars="200"/>
        <w:rPr>
          <w:rFonts w:eastAsia="仿宋_GB2312"/>
          <w:b w:val="0"/>
          <w:bCs w:val="0"/>
        </w:rPr>
      </w:pPr>
      <w:bookmarkStart w:id="28" w:name="_Toc129795575"/>
      <w:bookmarkStart w:id="29" w:name="_Toc130199780"/>
      <w:bookmarkStart w:id="30" w:name="_Toc130453134"/>
      <w:bookmarkStart w:id="31" w:name="_Toc130845562"/>
      <w:bookmarkStart w:id="32" w:name="_Toc130837909"/>
      <w:r>
        <w:rPr>
          <w:rFonts w:hint="eastAsia" w:eastAsia="仿宋_GB2312"/>
          <w:b w:val="0"/>
          <w:bCs w:val="0"/>
        </w:rPr>
        <w:t>防治</w:t>
      </w:r>
      <w:bookmarkEnd w:id="28"/>
      <w:bookmarkEnd w:id="29"/>
      <w:bookmarkEnd w:id="30"/>
      <w:r>
        <w:rPr>
          <w:rFonts w:hint="eastAsia" w:eastAsia="仿宋_GB2312"/>
          <w:b w:val="0"/>
          <w:bCs w:val="0"/>
        </w:rPr>
        <w:t>压力巨大</w:t>
      </w:r>
      <w:bookmarkEnd w:id="31"/>
      <w:bookmarkEnd w:id="32"/>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沿海沙化地区是传统的人口聚集地，人口密度大，人均可利用土地少，部分地区如雷州半岛，地表水资源利用严重不足，生态用水资源紧张，在沙化土地的利用与治理上，各部门之间侧重不同，给沙化土地治理带来一定难度。</w:t>
      </w:r>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虽然经过多年的治理，但受各种自然和人为因素影响，广东省重度和极重度沙化土地面积1</w:t>
      </w:r>
      <w:r>
        <w:rPr>
          <w:rFonts w:ascii="Times New Roman" w:hAnsi="Times New Roman" w:eastAsia="仿宋_GB2312" w:cs="Times New Roman"/>
          <w:color w:val="000000" w:themeColor="text1"/>
          <w:sz w:val="30"/>
          <w:szCs w:val="30"/>
        </w:rPr>
        <w:t>18.9755</w:t>
      </w:r>
      <w:r>
        <w:rPr>
          <w:rFonts w:hint="eastAsia" w:ascii="Times New Roman" w:hAnsi="Times New Roman" w:eastAsia="仿宋_GB2312" w:cs="Times New Roman"/>
          <w:color w:val="000000" w:themeColor="text1"/>
          <w:sz w:val="30"/>
          <w:szCs w:val="30"/>
        </w:rPr>
        <w:t>公顷，林草植被盖度低于3</w:t>
      </w:r>
      <w:r>
        <w:rPr>
          <w:rFonts w:ascii="Times New Roman" w:hAnsi="Times New Roman" w:eastAsia="仿宋_GB2312" w:cs="Times New Roman"/>
          <w:color w:val="000000" w:themeColor="text1"/>
          <w:sz w:val="30"/>
          <w:szCs w:val="30"/>
        </w:rPr>
        <w:t>0%</w:t>
      </w:r>
      <w:r>
        <w:rPr>
          <w:rFonts w:hint="eastAsia" w:ascii="Times New Roman" w:hAnsi="Times New Roman" w:eastAsia="仿宋_GB2312" w:cs="Times New Roman"/>
          <w:color w:val="000000" w:themeColor="text1"/>
          <w:sz w:val="30"/>
          <w:szCs w:val="30"/>
        </w:rPr>
        <w:t>的沙化土地面积为</w:t>
      </w:r>
      <w:r>
        <w:rPr>
          <w:rFonts w:ascii="Times New Roman" w:hAnsi="Times New Roman" w:eastAsia="仿宋_GB2312" w:cs="Times New Roman"/>
          <w:color w:val="000000" w:themeColor="text1"/>
          <w:sz w:val="30"/>
          <w:szCs w:val="30"/>
        </w:rPr>
        <w:t>84.0732</w:t>
      </w:r>
      <w:r>
        <w:rPr>
          <w:rFonts w:hint="eastAsia" w:ascii="Times New Roman" w:hAnsi="Times New Roman" w:eastAsia="仿宋_GB2312" w:cs="Times New Roman"/>
          <w:color w:val="000000" w:themeColor="text1"/>
          <w:sz w:val="30"/>
          <w:szCs w:val="30"/>
        </w:rPr>
        <w:t>公顷，还存在流动沙地</w:t>
      </w:r>
      <w:r>
        <w:rPr>
          <w:rFonts w:ascii="Times New Roman" w:hAnsi="Times New Roman" w:eastAsia="仿宋_GB2312" w:cs="Times New Roman"/>
          <w:color w:val="000000" w:themeColor="text1"/>
          <w:sz w:val="30"/>
          <w:szCs w:val="30"/>
        </w:rPr>
        <w:t>56.6837</w:t>
      </w:r>
      <w:r>
        <w:rPr>
          <w:rFonts w:hint="eastAsia" w:ascii="Times New Roman" w:hAnsi="Times New Roman" w:eastAsia="仿宋_GB2312" w:cs="Times New Roman"/>
          <w:color w:val="000000" w:themeColor="text1"/>
          <w:sz w:val="30"/>
          <w:szCs w:val="30"/>
        </w:rPr>
        <w:t>公顷，半固定沙地</w:t>
      </w:r>
      <w:r>
        <w:rPr>
          <w:rFonts w:ascii="Times New Roman" w:hAnsi="Times New Roman" w:eastAsia="仿宋_GB2312" w:cs="Times New Roman"/>
          <w:color w:val="000000" w:themeColor="text1"/>
          <w:sz w:val="30"/>
          <w:szCs w:val="30"/>
        </w:rPr>
        <w:t>27.3895</w:t>
      </w:r>
      <w:r>
        <w:rPr>
          <w:rFonts w:hint="eastAsia" w:ascii="Times New Roman" w:hAnsi="Times New Roman" w:eastAsia="仿宋_GB2312" w:cs="Times New Roman"/>
          <w:color w:val="000000" w:themeColor="text1"/>
          <w:sz w:val="30"/>
          <w:szCs w:val="30"/>
        </w:rPr>
        <w:t>公顷。在已治理的2</w:t>
      </w:r>
      <w:r>
        <w:rPr>
          <w:rFonts w:ascii="Times New Roman" w:hAnsi="Times New Roman" w:eastAsia="仿宋_GB2312" w:cs="Times New Roman"/>
          <w:color w:val="000000" w:themeColor="text1"/>
          <w:sz w:val="30"/>
          <w:szCs w:val="30"/>
        </w:rPr>
        <w:t>4828.2703</w:t>
      </w:r>
      <w:r>
        <w:rPr>
          <w:rFonts w:hint="eastAsia" w:ascii="Times New Roman" w:hAnsi="Times New Roman" w:eastAsia="仿宋_GB2312" w:cs="Times New Roman"/>
          <w:color w:val="000000" w:themeColor="text1"/>
          <w:sz w:val="30"/>
          <w:szCs w:val="30"/>
        </w:rPr>
        <w:t>公顷沙化土地中，初步治理和中等治理的面积占到6</w:t>
      </w:r>
      <w:r>
        <w:rPr>
          <w:rFonts w:ascii="Times New Roman" w:hAnsi="Times New Roman" w:eastAsia="仿宋_GB2312" w:cs="Times New Roman"/>
          <w:color w:val="000000" w:themeColor="text1"/>
          <w:sz w:val="30"/>
          <w:szCs w:val="30"/>
        </w:rPr>
        <w:t>8.11%</w:t>
      </w:r>
      <w:r>
        <w:rPr>
          <w:rFonts w:hint="eastAsia" w:ascii="Times New Roman" w:hAnsi="Times New Roman" w:eastAsia="仿宋_GB2312" w:cs="Times New Roman"/>
          <w:color w:val="000000" w:themeColor="text1"/>
          <w:sz w:val="30"/>
          <w:szCs w:val="30"/>
        </w:rPr>
        <w:t>，防治压力仍然较重。</w:t>
      </w:r>
    </w:p>
    <w:p>
      <w:pPr>
        <w:pStyle w:val="5"/>
        <w:numPr>
          <w:ilvl w:val="0"/>
          <w:numId w:val="10"/>
        </w:numPr>
        <w:spacing w:before="156" w:beforeLines="50" w:after="156" w:afterLines="50" w:line="240" w:lineRule="auto"/>
        <w:ind w:left="0" w:firstLine="600" w:firstLineChars="200"/>
        <w:rPr>
          <w:rFonts w:eastAsia="仿宋_GB2312"/>
          <w:b w:val="0"/>
          <w:bCs w:val="0"/>
        </w:rPr>
      </w:pPr>
      <w:bookmarkStart w:id="33" w:name="_Toc129795567"/>
      <w:bookmarkStart w:id="34" w:name="_Toc130453135"/>
      <w:bookmarkStart w:id="35" w:name="_Toc130199781"/>
      <w:bookmarkStart w:id="36" w:name="_Toc130837910"/>
      <w:bookmarkStart w:id="37" w:name="_Toc130845563"/>
      <w:bookmarkStart w:id="38" w:name="_Toc129795576"/>
      <w:r>
        <w:rPr>
          <w:rFonts w:hint="eastAsia" w:eastAsia="仿宋_GB2312"/>
          <w:b w:val="0"/>
          <w:bCs w:val="0"/>
        </w:rPr>
        <w:t>资金投入相对不足</w:t>
      </w:r>
      <w:bookmarkEnd w:id="33"/>
      <w:bookmarkEnd w:id="34"/>
      <w:bookmarkEnd w:id="35"/>
      <w:bookmarkEnd w:id="36"/>
      <w:bookmarkEnd w:id="37"/>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由于广东沿海地区东西两翼地方财政相对困难，导致部分造林区补植、抚育、管护等工作的配套资金相对不足，一定程度上影响了防沙治沙工程建设的进度和质量。由于防治投入的相对不足，部分灾损林分修复和老化林分更新，以及防护林的抚育和管护资金出现短缺情况，对防沙治沙成果的巩固造成了一定影响。而且，经过多年的工程建设后，剩下的未造林地大多为立地条件差、造林难度大的地块，随着社会物价水平和人力成本的提高，单位面积造林直接成本不断攀升。</w:t>
      </w:r>
    </w:p>
    <w:bookmarkEnd w:id="38"/>
    <w:p>
      <w:pPr>
        <w:pStyle w:val="3"/>
        <w:numPr>
          <w:ilvl w:val="0"/>
          <w:numId w:val="7"/>
        </w:numPr>
        <w:spacing w:before="156" w:beforeLines="50" w:after="156" w:afterLines="50" w:line="276" w:lineRule="auto"/>
        <w:ind w:left="0" w:firstLine="640" w:firstLineChars="200"/>
        <w:rPr>
          <w:rFonts w:eastAsia="楷体"/>
          <w:b w:val="0"/>
          <w:bCs w:val="0"/>
          <w:sz w:val="32"/>
          <w:szCs w:val="32"/>
        </w:rPr>
      </w:pPr>
      <w:bookmarkStart w:id="39" w:name="_Toc130845564"/>
      <w:r>
        <w:rPr>
          <w:rFonts w:hint="eastAsia" w:eastAsia="楷体"/>
          <w:b w:val="0"/>
          <w:bCs w:val="0"/>
          <w:sz w:val="32"/>
          <w:szCs w:val="32"/>
        </w:rPr>
        <w:t>面临机遇</w:t>
      </w:r>
      <w:bookmarkEnd w:id="39"/>
    </w:p>
    <w:p>
      <w:pPr>
        <w:pStyle w:val="5"/>
        <w:numPr>
          <w:ilvl w:val="0"/>
          <w:numId w:val="11"/>
        </w:numPr>
        <w:spacing w:before="156" w:beforeLines="50" w:after="156" w:afterLines="50" w:line="240" w:lineRule="auto"/>
        <w:ind w:left="0" w:firstLine="600" w:firstLineChars="200"/>
        <w:rPr>
          <w:rFonts w:eastAsia="仿宋_GB2312"/>
          <w:b w:val="0"/>
          <w:bCs w:val="0"/>
        </w:rPr>
      </w:pPr>
      <w:bookmarkStart w:id="40" w:name="_Toc130837912"/>
      <w:bookmarkStart w:id="41" w:name="_Toc130199783"/>
      <w:bookmarkStart w:id="42" w:name="_Toc129795570"/>
      <w:bookmarkStart w:id="43" w:name="_Toc130453137"/>
      <w:bookmarkStart w:id="44" w:name="_Toc130845565"/>
      <w:r>
        <w:rPr>
          <w:rFonts w:hint="eastAsia" w:eastAsia="仿宋_GB2312"/>
          <w:b w:val="0"/>
          <w:bCs w:val="0"/>
        </w:rPr>
        <w:t>生态文明建设的深入推进，为防沙治沙提供新的机遇</w:t>
      </w:r>
      <w:bookmarkEnd w:id="40"/>
      <w:bookmarkEnd w:id="41"/>
      <w:bookmarkEnd w:id="42"/>
      <w:bookmarkEnd w:id="43"/>
      <w:bookmarkEnd w:id="44"/>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建设生态文明，是关系人民福祉、民族未来的长远大计。党的十八大从新的历史起点出发，做出“大力推进生态文明，建设美丽中国，实施重大生态修复工程”的战略决策，将生态文明建设与经济建设、政治建设、文化建设、社会建设相结合，形成建设中国特色社会主义“五位一体”的总布局；党的十九大报告指出，要加大生态系统保护力度，实施重要生态系统保护和修复重大工程，优先生态安全屏障体系。2</w:t>
      </w:r>
      <w:r>
        <w:rPr>
          <w:rFonts w:ascii="Times New Roman" w:hAnsi="Times New Roman" w:eastAsia="仿宋_GB2312" w:cs="Times New Roman"/>
          <w:color w:val="000000" w:themeColor="text1"/>
          <w:sz w:val="30"/>
          <w:szCs w:val="30"/>
        </w:rPr>
        <w:t>022</w:t>
      </w:r>
      <w:r>
        <w:rPr>
          <w:rFonts w:hint="eastAsia" w:ascii="Times New Roman" w:hAnsi="Times New Roman" w:eastAsia="仿宋_GB2312" w:cs="Times New Roman"/>
          <w:color w:val="000000" w:themeColor="text1"/>
          <w:sz w:val="30"/>
          <w:szCs w:val="30"/>
        </w:rPr>
        <w:t>年1</w:t>
      </w:r>
      <w:r>
        <w:rPr>
          <w:rFonts w:ascii="Times New Roman" w:hAnsi="Times New Roman" w:eastAsia="仿宋_GB2312" w:cs="Times New Roman"/>
          <w:color w:val="000000" w:themeColor="text1"/>
          <w:sz w:val="30"/>
          <w:szCs w:val="30"/>
        </w:rPr>
        <w:t>2</w:t>
      </w:r>
      <w:r>
        <w:rPr>
          <w:rFonts w:hint="eastAsia" w:ascii="Times New Roman" w:hAnsi="Times New Roman" w:eastAsia="仿宋_GB2312" w:cs="Times New Roman"/>
          <w:color w:val="000000" w:themeColor="text1"/>
          <w:sz w:val="30"/>
          <w:szCs w:val="30"/>
        </w:rPr>
        <w:t>月，中共广东省委十三届二次全会通过了《关于深入推进绿美广东生态建设的决定》（以下简称《决定》），这是广东省委深入贯彻习近平新时代中国特色社会主义思想和党的二十大精神，践行习近平生态文明思想，着眼推动高质量发展、满足群众优美生态需求作出的又一重大决定，为防沙治沙工作的深入推进提供了前所未有机遇与有力保障。广东省沿海沙区防沙治沙是一项重要的生态修复工作，能够持续改善沙化土地生态状况、提高森林质量，</w:t>
      </w:r>
      <w:r>
        <w:rPr>
          <w:rFonts w:ascii="Times New Roman" w:hAnsi="Times New Roman" w:eastAsia="仿宋_GB2312" w:cs="Times New Roman"/>
          <w:color w:val="000000" w:themeColor="text1"/>
          <w:sz w:val="30"/>
          <w:szCs w:val="30"/>
        </w:rPr>
        <w:t>对于</w:t>
      </w:r>
      <w:r>
        <w:rPr>
          <w:rFonts w:hint="eastAsia" w:ascii="Times New Roman" w:hAnsi="Times New Roman" w:eastAsia="仿宋_GB2312" w:cs="Times New Roman"/>
          <w:color w:val="000000" w:themeColor="text1"/>
          <w:sz w:val="30"/>
          <w:szCs w:val="30"/>
        </w:rPr>
        <w:t>筑牢绿色生态安全屏障、统筹山水林田湖草沙一体化保护和系统治理、巩固拓展脱贫攻坚成果同乡村振兴有效衔接、深入推进绿美广东建设</w:t>
      </w:r>
      <w:r>
        <w:rPr>
          <w:rFonts w:ascii="Times New Roman" w:hAnsi="Times New Roman" w:eastAsia="仿宋_GB2312" w:cs="Times New Roman"/>
          <w:color w:val="000000" w:themeColor="text1"/>
          <w:sz w:val="30"/>
          <w:szCs w:val="30"/>
        </w:rPr>
        <w:t>、</w:t>
      </w:r>
      <w:r>
        <w:rPr>
          <w:rFonts w:hint="eastAsia" w:ascii="Times New Roman" w:hAnsi="Times New Roman" w:eastAsia="仿宋_GB2312" w:cs="Times New Roman"/>
          <w:color w:val="000000" w:themeColor="text1"/>
          <w:sz w:val="30"/>
          <w:szCs w:val="30"/>
        </w:rPr>
        <w:t>促进人与自然和谐共生</w:t>
      </w:r>
      <w:r>
        <w:rPr>
          <w:rFonts w:ascii="Times New Roman" w:hAnsi="Times New Roman" w:eastAsia="仿宋_GB2312" w:cs="Times New Roman"/>
          <w:color w:val="000000" w:themeColor="text1"/>
          <w:sz w:val="30"/>
          <w:szCs w:val="30"/>
        </w:rPr>
        <w:t>具有重大的现实意义。</w:t>
      </w:r>
    </w:p>
    <w:p>
      <w:pPr>
        <w:pStyle w:val="5"/>
        <w:numPr>
          <w:ilvl w:val="0"/>
          <w:numId w:val="11"/>
        </w:numPr>
        <w:spacing w:before="156" w:beforeLines="50" w:after="156" w:afterLines="50" w:line="240" w:lineRule="auto"/>
        <w:ind w:left="0" w:firstLine="600" w:firstLineChars="200"/>
        <w:rPr>
          <w:rFonts w:eastAsia="仿宋_GB2312"/>
          <w:b w:val="0"/>
          <w:bCs w:val="0"/>
        </w:rPr>
      </w:pPr>
      <w:bookmarkStart w:id="45" w:name="_Toc129795571"/>
      <w:bookmarkStart w:id="46" w:name="_Toc130199784"/>
      <w:bookmarkStart w:id="47" w:name="_Toc130837913"/>
      <w:bookmarkStart w:id="48" w:name="_Toc130453138"/>
      <w:bookmarkStart w:id="49" w:name="_Toc130845566"/>
      <w:r>
        <w:rPr>
          <w:rFonts w:hint="eastAsia" w:eastAsia="仿宋_GB2312"/>
          <w:b w:val="0"/>
          <w:bCs w:val="0"/>
        </w:rPr>
        <w:t>综合实力不断增强，为工程建设奠定坚实物质基础</w:t>
      </w:r>
      <w:bookmarkEnd w:id="45"/>
      <w:bookmarkEnd w:id="46"/>
      <w:bookmarkEnd w:id="47"/>
      <w:bookmarkEnd w:id="48"/>
      <w:bookmarkEnd w:id="49"/>
    </w:p>
    <w:p>
      <w:pPr>
        <w:tabs>
          <w:tab w:val="left" w:pos="1224"/>
        </w:tabs>
        <w:spacing w:line="560" w:lineRule="exact"/>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color w:val="000000" w:themeColor="text1"/>
          <w:sz w:val="30"/>
          <w:szCs w:val="30"/>
        </w:rPr>
        <w:t>广东省沿海地区雄厚的经济基础和良好的经济运行态势，为沙区防治体系建设奠定了坚实物质基础。近年来，广东省国民经济呈现持续健康发展的良好势头，内源型经济发展壮大，外源型经济发展水平不断提高，工业化进程不断加快，对外开放继续深化，民营经济取得新进展，高技术产业发展迅猛，信息化进程稳步推进。2</w:t>
      </w:r>
      <w:r>
        <w:rPr>
          <w:rFonts w:ascii="Times New Roman" w:hAnsi="Times New Roman" w:eastAsia="仿宋_GB2312" w:cs="Times New Roman"/>
          <w:color w:val="000000" w:themeColor="text1"/>
          <w:sz w:val="30"/>
          <w:szCs w:val="30"/>
        </w:rPr>
        <w:t>021</w:t>
      </w:r>
      <w:r>
        <w:rPr>
          <w:rFonts w:hint="eastAsia" w:ascii="Times New Roman" w:hAnsi="Times New Roman" w:eastAsia="仿宋_GB2312" w:cs="Times New Roman"/>
          <w:color w:val="000000" w:themeColor="text1"/>
          <w:sz w:val="30"/>
          <w:szCs w:val="30"/>
        </w:rPr>
        <w:t>年</w:t>
      </w:r>
      <w:r>
        <w:rPr>
          <w:rFonts w:ascii="Times New Roman" w:hAnsi="Times New Roman" w:eastAsia="仿宋_GB2312" w:cs="Times New Roman"/>
          <w:sz w:val="30"/>
          <w:szCs w:val="30"/>
        </w:rPr>
        <w:t>全年全省生产总值12.4万亿元、比上年增长8%</w:t>
      </w:r>
      <w:r>
        <w:rPr>
          <w:rFonts w:hint="eastAsia" w:ascii="Times New Roman" w:hAnsi="Times New Roman" w:eastAsia="仿宋_GB2312" w:cs="Times New Roman"/>
          <w:sz w:val="30"/>
          <w:szCs w:val="30"/>
        </w:rPr>
        <w:t>，沿海地区是广东省经济最发达，人口最稠密的地区，在全省国民经济和社会发展中占有举足轻重的地位。地方财力明显增强，同时加大对林业建设的投入力度，投入林业的社会资金不断增多，为沿海地区防沙治沙工作提供有力支持。</w:t>
      </w:r>
    </w:p>
    <w:p>
      <w:pPr>
        <w:pStyle w:val="5"/>
        <w:numPr>
          <w:ilvl w:val="0"/>
          <w:numId w:val="11"/>
        </w:numPr>
        <w:spacing w:before="156" w:beforeLines="50" w:after="156" w:afterLines="50" w:line="240" w:lineRule="auto"/>
        <w:ind w:left="0" w:firstLine="600" w:firstLineChars="200"/>
        <w:rPr>
          <w:rFonts w:eastAsia="仿宋_GB2312"/>
          <w:b w:val="0"/>
          <w:bCs w:val="0"/>
        </w:rPr>
      </w:pPr>
      <w:bookmarkStart w:id="50" w:name="_Toc129795572"/>
      <w:bookmarkStart w:id="51" w:name="_Toc130453139"/>
      <w:bookmarkStart w:id="52" w:name="_Toc130199785"/>
      <w:bookmarkStart w:id="53" w:name="_Toc130837914"/>
      <w:bookmarkStart w:id="54" w:name="_Toc130845567"/>
      <w:r>
        <w:rPr>
          <w:rFonts w:hint="eastAsia" w:eastAsia="仿宋_GB2312"/>
          <w:b w:val="0"/>
          <w:bCs w:val="0"/>
        </w:rPr>
        <w:t>林草科技水平提高，为防沙治沙提供有力的技术</w:t>
      </w:r>
      <w:bookmarkEnd w:id="50"/>
      <w:bookmarkEnd w:id="51"/>
      <w:bookmarkEnd w:id="52"/>
      <w:bookmarkEnd w:id="53"/>
      <w:bookmarkEnd w:id="54"/>
      <w:r>
        <w:rPr>
          <w:rFonts w:hint="eastAsia" w:eastAsia="仿宋_GB2312"/>
          <w:b w:val="0"/>
          <w:bCs w:val="0"/>
        </w:rPr>
        <w:t>支撑</w:t>
      </w:r>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sectPr>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仿宋_GB2312" w:cs="Times New Roman"/>
          <w:color w:val="000000" w:themeColor="text1"/>
          <w:sz w:val="30"/>
          <w:szCs w:val="30"/>
        </w:rPr>
        <w:t>随着林业科技水平的整体提高，沿海沙区防沙治沙技术支撑能力不断增强。近年来国外有关生态修复的基础理论正在得到进一步重视和发展，国内各种防护林科技成果和先进适用技术不断推出，相关理论、技术、方法日趋完善，为防沙治沙建设提供技术支撑，使广东省沿海地区防沙治沙的科技含量不断提高。</w:t>
      </w: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55" w:name="_Toc130845568"/>
      <w:r>
        <w:rPr>
          <w:rFonts w:hint="eastAsia" w:ascii="Times New Roman" w:hAnsi="Times New Roman" w:eastAsia="黑体" w:cs="Times New Roman"/>
          <w:b w:val="0"/>
          <w:bCs w:val="0"/>
          <w:sz w:val="36"/>
          <w:szCs w:val="36"/>
        </w:rPr>
        <w:t>总体思路</w:t>
      </w:r>
      <w:bookmarkEnd w:id="55"/>
    </w:p>
    <w:p>
      <w:pPr>
        <w:pStyle w:val="3"/>
        <w:numPr>
          <w:ilvl w:val="0"/>
          <w:numId w:val="12"/>
        </w:numPr>
        <w:spacing w:before="156" w:beforeLines="50" w:after="156" w:afterLines="50" w:line="276" w:lineRule="auto"/>
        <w:ind w:left="0" w:firstLine="640" w:firstLineChars="200"/>
        <w:rPr>
          <w:rFonts w:eastAsia="楷体"/>
          <w:b w:val="0"/>
          <w:bCs w:val="0"/>
          <w:sz w:val="32"/>
          <w:szCs w:val="32"/>
        </w:rPr>
      </w:pPr>
      <w:bookmarkStart w:id="56" w:name="_Toc130845569"/>
      <w:r>
        <w:rPr>
          <w:rFonts w:eastAsia="楷体"/>
          <w:b w:val="0"/>
          <w:bCs w:val="0"/>
          <w:sz w:val="32"/>
          <w:szCs w:val="32"/>
        </w:rPr>
        <w:t>指导思想</w:t>
      </w:r>
      <w:bookmarkEnd w:id="56"/>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以</w:t>
      </w:r>
      <w:r>
        <w:rPr>
          <w:rFonts w:ascii="Times New Roman" w:hAnsi="Times New Roman" w:eastAsia="仿宋_GB2312" w:cs="Times New Roman"/>
          <w:color w:val="000000" w:themeColor="text1"/>
          <w:sz w:val="30"/>
          <w:szCs w:val="30"/>
        </w:rPr>
        <w:t>习近平生态文明思想</w:t>
      </w:r>
      <w:r>
        <w:rPr>
          <w:rFonts w:hint="eastAsia" w:ascii="Times New Roman" w:hAnsi="Times New Roman" w:eastAsia="仿宋_GB2312" w:cs="Times New Roman"/>
          <w:color w:val="000000" w:themeColor="text1"/>
          <w:sz w:val="30"/>
          <w:szCs w:val="30"/>
        </w:rPr>
        <w:t>为指导，全面贯</w:t>
      </w:r>
      <w:r>
        <w:rPr>
          <w:rFonts w:ascii="Times New Roman" w:hAnsi="Times New Roman" w:eastAsia="仿宋_GB2312" w:cs="Times New Roman"/>
          <w:color w:val="000000" w:themeColor="text1"/>
          <w:sz w:val="30"/>
          <w:szCs w:val="30"/>
        </w:rPr>
        <w:t>彻党的二十大精神，认真落实党中央、国务院决策部署，完整、准确、全面贯彻新发展理念，坚持山水林田湖草沙一体化保护和系统治理，按照保护优先、重点修复、适度利用的总体思路，依托重要生态系统保护和修复工程，</w:t>
      </w:r>
      <w:r>
        <w:rPr>
          <w:rFonts w:hint="eastAsia" w:ascii="Times New Roman" w:hAnsi="Times New Roman" w:eastAsia="仿宋_GB2312" w:cs="Times New Roman"/>
          <w:color w:val="000000" w:themeColor="text1"/>
          <w:sz w:val="30"/>
          <w:szCs w:val="30"/>
        </w:rPr>
        <w:t>遵循自然规律，</w:t>
      </w:r>
      <w:r>
        <w:rPr>
          <w:rFonts w:ascii="Times New Roman" w:hAnsi="Times New Roman" w:eastAsia="仿宋_GB2312" w:cs="Times New Roman"/>
          <w:color w:val="000000" w:themeColor="text1"/>
          <w:sz w:val="30"/>
          <w:szCs w:val="30"/>
        </w:rPr>
        <w:t>因地制宜</w:t>
      </w:r>
      <w:r>
        <w:rPr>
          <w:rFonts w:hint="eastAsia" w:ascii="Times New Roman" w:hAnsi="Times New Roman" w:eastAsia="仿宋_GB2312" w:cs="Times New Roman"/>
          <w:color w:val="000000" w:themeColor="text1"/>
          <w:sz w:val="30"/>
          <w:szCs w:val="30"/>
        </w:rPr>
        <w:t>，以构建完善</w:t>
      </w:r>
      <w:r>
        <w:rPr>
          <w:rFonts w:ascii="Times New Roman" w:hAnsi="Times New Roman" w:eastAsia="仿宋_GB2312" w:cs="Times New Roman"/>
          <w:color w:val="000000" w:themeColor="text1"/>
          <w:sz w:val="30"/>
          <w:szCs w:val="30"/>
        </w:rPr>
        <w:t>沿海沙岸防护林</w:t>
      </w:r>
      <w:r>
        <w:rPr>
          <w:rFonts w:hint="eastAsia" w:ascii="Times New Roman" w:hAnsi="Times New Roman" w:eastAsia="仿宋_GB2312" w:cs="Times New Roman"/>
          <w:color w:val="000000" w:themeColor="text1"/>
          <w:sz w:val="30"/>
          <w:szCs w:val="30"/>
        </w:rPr>
        <w:t>体系</w:t>
      </w:r>
      <w:r>
        <w:rPr>
          <w:rFonts w:ascii="Times New Roman" w:hAnsi="Times New Roman" w:eastAsia="仿宋_GB2312" w:cs="Times New Roman"/>
          <w:color w:val="000000" w:themeColor="text1"/>
          <w:sz w:val="30"/>
          <w:szCs w:val="30"/>
        </w:rPr>
        <w:t>为重点，以保护生态和改善民生为目标，全力推进防沙治沙高质量发展，</w:t>
      </w:r>
      <w:r>
        <w:rPr>
          <w:rFonts w:hint="eastAsia" w:ascii="Times New Roman" w:hAnsi="Times New Roman" w:eastAsia="仿宋_GB2312" w:cs="Times New Roman"/>
          <w:color w:val="000000" w:themeColor="text1"/>
          <w:sz w:val="30"/>
          <w:szCs w:val="30"/>
        </w:rPr>
        <w:t>全面促进沙化土地土质改良，努力培育沙化地区绿色特色产业，</w:t>
      </w:r>
      <w:r>
        <w:rPr>
          <w:rFonts w:ascii="Times New Roman" w:hAnsi="Times New Roman" w:eastAsia="仿宋_GB2312" w:cs="Times New Roman"/>
          <w:color w:val="000000" w:themeColor="text1"/>
          <w:sz w:val="30"/>
          <w:szCs w:val="30"/>
        </w:rPr>
        <w:t>为</w:t>
      </w:r>
      <w:r>
        <w:rPr>
          <w:rFonts w:hint="eastAsia" w:ascii="Times New Roman" w:hAnsi="Times New Roman" w:eastAsia="仿宋_GB2312" w:cs="Times New Roman"/>
          <w:color w:val="000000" w:themeColor="text1"/>
          <w:sz w:val="30"/>
          <w:szCs w:val="30"/>
        </w:rPr>
        <w:t>广东省沙化土地得到有效治理，沙化区域生态状况进一步改善，加快“双碳”目标实现、助推绿美广东生态</w:t>
      </w:r>
      <w:r>
        <w:rPr>
          <w:rFonts w:ascii="Times New Roman" w:hAnsi="Times New Roman" w:eastAsia="仿宋_GB2312" w:cs="Times New Roman"/>
          <w:color w:val="000000" w:themeColor="text1"/>
          <w:sz w:val="30"/>
          <w:szCs w:val="30"/>
        </w:rPr>
        <w:t>建设、</w:t>
      </w:r>
      <w:r>
        <w:rPr>
          <w:rFonts w:hint="eastAsia" w:ascii="Times New Roman" w:hAnsi="Times New Roman" w:eastAsia="仿宋_GB2312" w:cs="Times New Roman"/>
          <w:color w:val="000000" w:themeColor="text1"/>
          <w:sz w:val="30"/>
          <w:szCs w:val="30"/>
        </w:rPr>
        <w:t>打造</w:t>
      </w:r>
      <w:r>
        <w:rPr>
          <w:rFonts w:ascii="Times New Roman" w:hAnsi="Times New Roman" w:eastAsia="仿宋_GB2312" w:cs="Times New Roman"/>
          <w:color w:val="000000" w:themeColor="text1"/>
          <w:sz w:val="30"/>
          <w:szCs w:val="30"/>
        </w:rPr>
        <w:t>人与自然和谐共</w:t>
      </w:r>
      <w:r>
        <w:rPr>
          <w:rFonts w:hint="eastAsia" w:ascii="Times New Roman" w:hAnsi="Times New Roman" w:eastAsia="仿宋_GB2312" w:cs="Times New Roman"/>
          <w:color w:val="000000" w:themeColor="text1"/>
          <w:sz w:val="30"/>
          <w:szCs w:val="30"/>
        </w:rPr>
        <w:t>生的广东样板作出新的贡献。</w:t>
      </w:r>
    </w:p>
    <w:p>
      <w:pPr>
        <w:pStyle w:val="3"/>
        <w:numPr>
          <w:ilvl w:val="0"/>
          <w:numId w:val="12"/>
        </w:numPr>
        <w:spacing w:before="156" w:beforeLines="50" w:after="156" w:afterLines="50" w:line="276" w:lineRule="auto"/>
        <w:ind w:left="0" w:firstLine="640" w:firstLineChars="200"/>
        <w:rPr>
          <w:rFonts w:eastAsia="楷体"/>
          <w:b w:val="0"/>
          <w:bCs w:val="0"/>
          <w:sz w:val="32"/>
          <w:szCs w:val="32"/>
        </w:rPr>
      </w:pPr>
      <w:bookmarkStart w:id="57" w:name="_Toc130845570"/>
      <w:r>
        <w:rPr>
          <w:rFonts w:eastAsia="楷体"/>
          <w:b w:val="0"/>
          <w:bCs w:val="0"/>
          <w:sz w:val="32"/>
          <w:szCs w:val="32"/>
        </w:rPr>
        <w:t>基本原则</w:t>
      </w:r>
      <w:bookmarkEnd w:id="57"/>
    </w:p>
    <w:p>
      <w:pPr>
        <w:pStyle w:val="5"/>
        <w:numPr>
          <w:ilvl w:val="0"/>
          <w:numId w:val="13"/>
        </w:numPr>
        <w:spacing w:before="156" w:beforeLines="50" w:after="156" w:afterLines="50" w:line="240" w:lineRule="auto"/>
        <w:ind w:left="0" w:firstLine="600" w:firstLineChars="200"/>
        <w:rPr>
          <w:rFonts w:eastAsia="仿宋_GB2312"/>
          <w:b w:val="0"/>
          <w:bCs w:val="0"/>
        </w:rPr>
      </w:pPr>
      <w:bookmarkStart w:id="58" w:name="_Toc129795580"/>
      <w:bookmarkStart w:id="59" w:name="_Toc130837918"/>
      <w:bookmarkStart w:id="60" w:name="_Toc130199789"/>
      <w:bookmarkStart w:id="61" w:name="_Toc130845571"/>
      <w:bookmarkStart w:id="62" w:name="_Toc130453143"/>
      <w:r>
        <w:rPr>
          <w:rFonts w:hint="eastAsia" w:eastAsia="仿宋_GB2312"/>
          <w:b w:val="0"/>
          <w:bCs w:val="0"/>
        </w:rPr>
        <w:t>因地制宜，分类施策</w:t>
      </w:r>
      <w:bookmarkEnd w:id="58"/>
      <w:bookmarkEnd w:id="59"/>
      <w:bookmarkEnd w:id="60"/>
      <w:bookmarkEnd w:id="61"/>
      <w:bookmarkEnd w:id="62"/>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沿海沙化土地自然条件、沙化类型、沙化程度，以及其发挥的生态、经济功能，实行分类保护、综合治理和合理利用。科学确定防治方向和具体措施，做好与工程项目衔接。强化防沙治沙规划引领作用，沙区从事防沙治沙、开发利用活动，必须遵循防沙治沙规划相关规定。</w:t>
      </w:r>
    </w:p>
    <w:p>
      <w:pPr>
        <w:pStyle w:val="5"/>
        <w:numPr>
          <w:ilvl w:val="0"/>
          <w:numId w:val="13"/>
        </w:numPr>
        <w:spacing w:before="156" w:beforeLines="50" w:after="156" w:afterLines="50" w:line="240" w:lineRule="auto"/>
        <w:ind w:left="0" w:firstLine="600" w:firstLineChars="200"/>
        <w:rPr>
          <w:rFonts w:eastAsia="仿宋_GB2312"/>
          <w:b w:val="0"/>
          <w:bCs w:val="0"/>
        </w:rPr>
      </w:pPr>
      <w:bookmarkStart w:id="63" w:name="_Toc129795581"/>
      <w:bookmarkStart w:id="64" w:name="_Toc130837919"/>
      <w:bookmarkStart w:id="65" w:name="_Toc130845572"/>
      <w:bookmarkStart w:id="66" w:name="_Toc130199790"/>
      <w:bookmarkStart w:id="67" w:name="_Toc130453144"/>
      <w:r>
        <w:rPr>
          <w:rFonts w:hint="eastAsia" w:eastAsia="仿宋_GB2312"/>
          <w:b w:val="0"/>
          <w:bCs w:val="0"/>
        </w:rPr>
        <w:t>预防为主，保护优先</w:t>
      </w:r>
      <w:bookmarkEnd w:id="63"/>
      <w:bookmarkEnd w:id="64"/>
      <w:bookmarkEnd w:id="65"/>
      <w:bookmarkEnd w:id="66"/>
      <w:bookmarkEnd w:id="67"/>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坚持尊重自然、顺应自然、保护自然，以预防为主、保护优先，因地制宜充分发挥生态系统自我修复能力，优先保护好沙化区域的现有</w:t>
      </w:r>
      <w:r>
        <w:rPr>
          <w:rFonts w:ascii="Times New Roman" w:hAnsi="Times New Roman" w:eastAsia="仿宋_GB2312" w:cs="Times New Roman"/>
          <w:color w:val="000000" w:themeColor="text1"/>
          <w:sz w:val="30"/>
          <w:szCs w:val="30"/>
        </w:rPr>
        <w:t>植被，</w:t>
      </w:r>
      <w:r>
        <w:rPr>
          <w:rFonts w:hint="eastAsia" w:ascii="Times New Roman" w:hAnsi="Times New Roman" w:eastAsia="仿宋_GB2312" w:cs="Times New Roman"/>
          <w:color w:val="000000" w:themeColor="text1"/>
          <w:sz w:val="30"/>
          <w:szCs w:val="30"/>
        </w:rPr>
        <w:t>对沙化土地采取综合治理措施，强化监测预警能力，</w:t>
      </w:r>
      <w:r>
        <w:rPr>
          <w:rFonts w:ascii="Times New Roman" w:hAnsi="Times New Roman" w:eastAsia="仿宋_GB2312" w:cs="Times New Roman"/>
          <w:color w:val="000000" w:themeColor="text1"/>
          <w:sz w:val="30"/>
          <w:szCs w:val="30"/>
        </w:rPr>
        <w:t>严格保护治理成果，防止出现沙化土地退化。</w:t>
      </w:r>
    </w:p>
    <w:p>
      <w:pPr>
        <w:pStyle w:val="5"/>
        <w:numPr>
          <w:ilvl w:val="0"/>
          <w:numId w:val="13"/>
        </w:numPr>
        <w:spacing w:before="156" w:beforeLines="50" w:after="156" w:afterLines="50" w:line="240" w:lineRule="auto"/>
        <w:ind w:left="0" w:firstLine="600" w:firstLineChars="200"/>
        <w:rPr>
          <w:rFonts w:eastAsia="仿宋_GB2312"/>
          <w:b w:val="0"/>
          <w:bCs w:val="0"/>
        </w:rPr>
      </w:pPr>
      <w:bookmarkStart w:id="68" w:name="_Toc130845573"/>
      <w:bookmarkStart w:id="69" w:name="_Toc129795582"/>
      <w:bookmarkStart w:id="70" w:name="_Toc130453145"/>
      <w:bookmarkStart w:id="71" w:name="_Toc130837920"/>
      <w:bookmarkStart w:id="72" w:name="_Toc130199791"/>
      <w:r>
        <w:rPr>
          <w:rFonts w:hint="eastAsia" w:eastAsia="仿宋_GB2312"/>
          <w:b w:val="0"/>
          <w:bCs w:val="0"/>
        </w:rPr>
        <w:t>科学治理，造改结合</w:t>
      </w:r>
      <w:bookmarkEnd w:id="68"/>
      <w:bookmarkEnd w:id="69"/>
      <w:bookmarkEnd w:id="70"/>
      <w:bookmarkEnd w:id="71"/>
      <w:bookmarkEnd w:id="72"/>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牢固树立系统观念，加强区域全要素协调治理和优化，统筹推进山水林田湖草沙系统治理，提高生态系统稳定性，促进生态系统治理整体改善。针对现有防沙治沙林带部分断带、灾损、退化严重和林分质量不高等问题，结合实际，采取造改结合，不断完善建设内容，提高林分质量，增强生态系统抵御风险的能力，同时充分依靠科技进步，因地制宜采取生物、工程措施相结合，乔灌草相结合，科学配置林草植被类型和密度，加强防风固沙林、护岸林和水土保持林建设，加强森林抚育、更新改造，提升生态防护功能。</w:t>
      </w:r>
    </w:p>
    <w:p>
      <w:pPr>
        <w:pStyle w:val="5"/>
        <w:numPr>
          <w:ilvl w:val="0"/>
          <w:numId w:val="13"/>
        </w:numPr>
        <w:spacing w:before="156" w:beforeLines="50" w:after="156" w:afterLines="50" w:line="240" w:lineRule="auto"/>
        <w:ind w:left="0" w:firstLine="600" w:firstLineChars="200"/>
        <w:rPr>
          <w:rFonts w:eastAsia="仿宋_GB2312"/>
          <w:b w:val="0"/>
          <w:bCs w:val="0"/>
        </w:rPr>
      </w:pPr>
      <w:bookmarkStart w:id="73" w:name="_Toc130845574"/>
      <w:bookmarkStart w:id="74" w:name="_Toc130199792"/>
      <w:bookmarkStart w:id="75" w:name="_Toc130453146"/>
      <w:bookmarkStart w:id="76" w:name="_Toc130837921"/>
      <w:bookmarkStart w:id="77" w:name="_Toc129795583"/>
      <w:r>
        <w:rPr>
          <w:rFonts w:hint="eastAsia" w:eastAsia="仿宋_GB2312"/>
          <w:b w:val="0"/>
          <w:bCs w:val="0"/>
        </w:rPr>
        <w:t>政府主导，社会参与</w:t>
      </w:r>
      <w:bookmarkEnd w:id="73"/>
      <w:bookmarkEnd w:id="74"/>
      <w:bookmarkEnd w:id="75"/>
      <w:bookmarkEnd w:id="76"/>
      <w:bookmarkEnd w:id="77"/>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防沙治沙是一项社会公益事业，突出政府的主导作用，</w:t>
      </w:r>
      <w:r>
        <w:rPr>
          <w:rFonts w:ascii="Times New Roman" w:hAnsi="Times New Roman" w:eastAsia="仿宋_GB2312" w:cs="Times New Roman"/>
          <w:color w:val="000000" w:themeColor="text1"/>
          <w:sz w:val="30"/>
          <w:szCs w:val="30"/>
        </w:rPr>
        <w:t>政府组织与社会参与相结合，不断加大防沙治沙资金投入。</w:t>
      </w:r>
      <w:r>
        <w:rPr>
          <w:rFonts w:hint="eastAsia" w:ascii="Times New Roman" w:hAnsi="Times New Roman" w:eastAsia="仿宋_GB2312" w:cs="Times New Roman"/>
          <w:color w:val="000000" w:themeColor="text1"/>
          <w:sz w:val="30"/>
          <w:szCs w:val="30"/>
        </w:rPr>
        <w:t>通过完善财政、土地使用、政府购买服务等相关政策，营造</w:t>
      </w:r>
      <w:r>
        <w:rPr>
          <w:rFonts w:ascii="Times New Roman" w:hAnsi="Times New Roman" w:eastAsia="仿宋_GB2312" w:cs="Times New Roman"/>
          <w:color w:val="000000" w:themeColor="text1"/>
          <w:sz w:val="30"/>
          <w:szCs w:val="30"/>
        </w:rPr>
        <w:t>良好政策环境，激发民间投资活力，引导社会力量参与防沙治沙，保障治理者的合法权益。在保护好生态的前提下，适度发展沙产业，增加农民收入，促进区域经济发展。</w:t>
      </w:r>
    </w:p>
    <w:p>
      <w:pPr>
        <w:pStyle w:val="3"/>
        <w:numPr>
          <w:ilvl w:val="0"/>
          <w:numId w:val="12"/>
        </w:numPr>
        <w:spacing w:before="156" w:beforeLines="50" w:after="156" w:afterLines="50" w:line="276" w:lineRule="auto"/>
        <w:ind w:left="0" w:firstLine="640" w:firstLineChars="200"/>
        <w:rPr>
          <w:rFonts w:eastAsia="楷体"/>
          <w:b w:val="0"/>
          <w:bCs w:val="0"/>
          <w:sz w:val="32"/>
          <w:szCs w:val="32"/>
        </w:rPr>
      </w:pPr>
      <w:bookmarkStart w:id="78" w:name="_Toc130845576"/>
      <w:r>
        <w:rPr>
          <w:rFonts w:eastAsia="楷体"/>
          <w:b w:val="0"/>
          <w:bCs w:val="0"/>
          <w:sz w:val="32"/>
          <w:szCs w:val="32"/>
        </w:rPr>
        <w:t>规划目标</w:t>
      </w:r>
      <w:bookmarkEnd w:id="78"/>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本规划建设期限为2</w:t>
      </w:r>
      <w:r>
        <w:rPr>
          <w:rFonts w:ascii="Times New Roman" w:hAnsi="Times New Roman" w:eastAsia="仿宋_GB2312" w:cs="Times New Roman"/>
          <w:color w:val="000000" w:themeColor="text1"/>
          <w:sz w:val="30"/>
          <w:szCs w:val="30"/>
        </w:rPr>
        <w:t>021</w:t>
      </w:r>
      <w:r>
        <w:rPr>
          <w:rFonts w:hint="eastAsia" w:ascii="仿宋_GB2312"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2030</w:t>
      </w:r>
      <w:r>
        <w:rPr>
          <w:rFonts w:hint="eastAsia" w:ascii="Times New Roman" w:hAnsi="Times New Roman" w:eastAsia="仿宋_GB2312" w:cs="Times New Roman"/>
          <w:color w:val="000000" w:themeColor="text1"/>
          <w:sz w:val="30"/>
          <w:szCs w:val="30"/>
        </w:rPr>
        <w:t>年，分近期和远期目标，其中2</w:t>
      </w:r>
      <w:r>
        <w:rPr>
          <w:rFonts w:ascii="Times New Roman" w:hAnsi="Times New Roman" w:eastAsia="仿宋_GB2312" w:cs="Times New Roman"/>
          <w:color w:val="000000" w:themeColor="text1"/>
          <w:sz w:val="30"/>
          <w:szCs w:val="30"/>
        </w:rPr>
        <w:t>021</w:t>
      </w:r>
      <w:r>
        <w:rPr>
          <w:rFonts w:hint="eastAsia" w:ascii="仿宋_GB2312"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2025</w:t>
      </w:r>
      <w:r>
        <w:rPr>
          <w:rFonts w:hint="eastAsia" w:ascii="Times New Roman" w:hAnsi="Times New Roman" w:eastAsia="仿宋_GB2312" w:cs="Times New Roman"/>
          <w:color w:val="000000" w:themeColor="text1"/>
          <w:sz w:val="30"/>
          <w:szCs w:val="30"/>
        </w:rPr>
        <w:t>年为近期（“十四五”阶段），2</w:t>
      </w:r>
      <w:r>
        <w:rPr>
          <w:rFonts w:ascii="Times New Roman" w:hAnsi="Times New Roman" w:eastAsia="仿宋_GB2312" w:cs="Times New Roman"/>
          <w:color w:val="000000" w:themeColor="text1"/>
          <w:sz w:val="30"/>
          <w:szCs w:val="30"/>
        </w:rPr>
        <w:t>026</w:t>
      </w:r>
      <w:r>
        <w:rPr>
          <w:rFonts w:hint="eastAsia" w:ascii="仿宋_GB2312"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2030</w:t>
      </w:r>
      <w:r>
        <w:rPr>
          <w:rFonts w:hint="eastAsia" w:ascii="Times New Roman" w:hAnsi="Times New Roman" w:eastAsia="仿宋_GB2312" w:cs="Times New Roman"/>
          <w:color w:val="000000" w:themeColor="text1"/>
          <w:sz w:val="30"/>
          <w:szCs w:val="30"/>
        </w:rPr>
        <w:t>为远期。</w:t>
      </w:r>
    </w:p>
    <w:p>
      <w:pPr>
        <w:pStyle w:val="5"/>
        <w:numPr>
          <w:ilvl w:val="0"/>
          <w:numId w:val="14"/>
        </w:numPr>
        <w:spacing w:line="240" w:lineRule="auto"/>
        <w:ind w:left="0" w:firstLine="600" w:firstLineChars="200"/>
        <w:rPr>
          <w:rFonts w:eastAsia="仿宋_GB2312"/>
          <w:b w:val="0"/>
          <w:bCs w:val="0"/>
        </w:rPr>
      </w:pPr>
      <w:bookmarkStart w:id="79" w:name="_Toc129795595"/>
      <w:bookmarkStart w:id="80" w:name="_Toc130837924"/>
      <w:bookmarkStart w:id="81" w:name="_Toc130453149"/>
      <w:bookmarkStart w:id="82" w:name="_Toc130199795"/>
      <w:bookmarkStart w:id="83" w:name="_Toc130845577"/>
      <w:r>
        <w:rPr>
          <w:rFonts w:hint="eastAsia" w:eastAsia="仿宋_GB2312"/>
          <w:b w:val="0"/>
          <w:bCs w:val="0"/>
        </w:rPr>
        <w:t>近期目标</w:t>
      </w:r>
      <w:bookmarkEnd w:id="79"/>
      <w:bookmarkEnd w:id="80"/>
      <w:bookmarkEnd w:id="81"/>
      <w:bookmarkEnd w:id="82"/>
      <w:bookmarkEnd w:id="83"/>
    </w:p>
    <w:p>
      <w:pPr>
        <w:spacing w:line="560" w:lineRule="exact"/>
        <w:ind w:firstLine="600" w:firstLineChars="200"/>
      </w:pPr>
      <w:r>
        <w:rPr>
          <w:rFonts w:hint="eastAsia" w:ascii="Times New Roman" w:hAnsi="Times New Roman" w:eastAsia="仿宋_GB2312" w:cs="Times New Roman"/>
          <w:color w:val="000000" w:themeColor="text1"/>
          <w:sz w:val="30"/>
          <w:szCs w:val="30"/>
        </w:rPr>
        <w:t>到2</w:t>
      </w:r>
      <w:r>
        <w:rPr>
          <w:rFonts w:ascii="Times New Roman" w:hAnsi="Times New Roman" w:eastAsia="仿宋_GB2312" w:cs="Times New Roman"/>
          <w:color w:val="000000" w:themeColor="text1"/>
          <w:sz w:val="30"/>
          <w:szCs w:val="30"/>
        </w:rPr>
        <w:t>025</w:t>
      </w:r>
      <w:r>
        <w:rPr>
          <w:rFonts w:hint="eastAsia" w:ascii="Times New Roman" w:hAnsi="Times New Roman" w:eastAsia="仿宋_GB2312" w:cs="Times New Roman"/>
          <w:color w:val="000000" w:themeColor="text1"/>
          <w:sz w:val="30"/>
          <w:szCs w:val="30"/>
        </w:rPr>
        <w:t>年，完成沙化土地治理任务2</w:t>
      </w:r>
      <w:r>
        <w:rPr>
          <w:rFonts w:ascii="Times New Roman" w:hAnsi="Times New Roman" w:eastAsia="仿宋_GB2312" w:cs="Times New Roman"/>
          <w:color w:val="000000" w:themeColor="text1"/>
          <w:sz w:val="30"/>
          <w:szCs w:val="30"/>
        </w:rPr>
        <w:t>476.6667</w:t>
      </w:r>
      <w:r>
        <w:rPr>
          <w:rFonts w:hint="eastAsia" w:ascii="Times New Roman" w:hAnsi="Times New Roman" w:eastAsia="仿宋_GB2312" w:cs="Times New Roman"/>
          <w:color w:val="000000" w:themeColor="text1"/>
          <w:sz w:val="30"/>
          <w:szCs w:val="30"/>
        </w:rPr>
        <w:t>公顷</w:t>
      </w:r>
      <w:r>
        <w:rPr>
          <w:rStyle w:val="33"/>
          <w:rFonts w:ascii="Times New Roman" w:hAnsi="Times New Roman" w:eastAsia="仿宋_GB2312" w:cs="Times New Roman"/>
          <w:color w:val="000000" w:themeColor="text1"/>
          <w:sz w:val="30"/>
          <w:szCs w:val="30"/>
        </w:rPr>
        <w:footnoteReference w:id="1"/>
      </w:r>
      <w:r>
        <w:rPr>
          <w:rFonts w:hint="eastAsia" w:ascii="Times New Roman" w:hAnsi="Times New Roman" w:eastAsia="仿宋_GB2312" w:cs="Times New Roman"/>
          <w:color w:val="000000" w:themeColor="text1"/>
          <w:sz w:val="30"/>
          <w:szCs w:val="30"/>
        </w:rPr>
        <w:t>，其中人工造林</w:t>
      </w:r>
      <w:r>
        <w:rPr>
          <w:rFonts w:ascii="Times New Roman" w:hAnsi="Times New Roman" w:eastAsia="仿宋_GB2312" w:cs="Times New Roman"/>
          <w:color w:val="000000" w:themeColor="text1"/>
          <w:sz w:val="30"/>
          <w:szCs w:val="30"/>
        </w:rPr>
        <w:t>187.7600</w:t>
      </w:r>
      <w:r>
        <w:rPr>
          <w:rFonts w:hint="eastAsia" w:ascii="Times New Roman" w:hAnsi="Times New Roman" w:eastAsia="仿宋_GB2312" w:cs="Times New Roman"/>
          <w:color w:val="000000" w:themeColor="text1"/>
          <w:sz w:val="30"/>
          <w:szCs w:val="30"/>
        </w:rPr>
        <w:t>公顷；补植套种</w:t>
      </w:r>
      <w:r>
        <w:rPr>
          <w:rFonts w:ascii="Times New Roman" w:hAnsi="Times New Roman" w:eastAsia="仿宋_GB2312" w:cs="Times New Roman"/>
          <w:color w:val="000000" w:themeColor="text1"/>
          <w:sz w:val="30"/>
          <w:szCs w:val="30"/>
        </w:rPr>
        <w:t>971.7732</w:t>
      </w:r>
      <w:r>
        <w:rPr>
          <w:rFonts w:hint="eastAsia" w:ascii="Times New Roman" w:hAnsi="Times New Roman" w:eastAsia="仿宋_GB2312" w:cs="Times New Roman"/>
          <w:color w:val="000000" w:themeColor="text1"/>
          <w:sz w:val="30"/>
          <w:szCs w:val="30"/>
        </w:rPr>
        <w:t>公顷；更新改造</w:t>
      </w:r>
      <w:r>
        <w:rPr>
          <w:rFonts w:ascii="Times New Roman" w:hAnsi="Times New Roman" w:eastAsia="仿宋_GB2312" w:cs="Times New Roman"/>
          <w:color w:val="000000" w:themeColor="text1"/>
          <w:sz w:val="30"/>
          <w:szCs w:val="30"/>
        </w:rPr>
        <w:t>81.5333</w:t>
      </w:r>
      <w:r>
        <w:rPr>
          <w:rFonts w:hint="eastAsia" w:ascii="Times New Roman" w:hAnsi="Times New Roman" w:eastAsia="仿宋_GB2312" w:cs="Times New Roman"/>
          <w:color w:val="000000" w:themeColor="text1"/>
          <w:sz w:val="30"/>
          <w:szCs w:val="30"/>
        </w:rPr>
        <w:t>公顷；森林抚育1</w:t>
      </w:r>
      <w:r>
        <w:rPr>
          <w:rFonts w:ascii="Times New Roman" w:hAnsi="Times New Roman" w:eastAsia="仿宋_GB2312" w:cs="Times New Roman"/>
          <w:color w:val="000000" w:themeColor="text1"/>
          <w:sz w:val="30"/>
          <w:szCs w:val="30"/>
        </w:rPr>
        <w:t>192.2668</w:t>
      </w:r>
      <w:r>
        <w:rPr>
          <w:rFonts w:hint="eastAsia" w:ascii="Times New Roman" w:hAnsi="Times New Roman" w:eastAsia="仿宋_GB2312" w:cs="Times New Roman"/>
          <w:color w:val="000000" w:themeColor="text1"/>
          <w:sz w:val="30"/>
          <w:szCs w:val="30"/>
        </w:rPr>
        <w:t>公顷；封山（沙）育林育草4</w:t>
      </w:r>
      <w:r>
        <w:rPr>
          <w:rFonts w:ascii="Times New Roman" w:hAnsi="Times New Roman" w:eastAsia="仿宋_GB2312" w:cs="Times New Roman"/>
          <w:color w:val="000000" w:themeColor="text1"/>
          <w:sz w:val="30"/>
          <w:szCs w:val="30"/>
        </w:rPr>
        <w:t>3.3334</w:t>
      </w:r>
      <w:r>
        <w:rPr>
          <w:rFonts w:hint="eastAsia" w:ascii="Times New Roman" w:hAnsi="Times New Roman" w:eastAsia="仿宋_GB2312" w:cs="Times New Roman"/>
          <w:color w:val="000000" w:themeColor="text1"/>
          <w:sz w:val="30"/>
          <w:szCs w:val="30"/>
        </w:rPr>
        <w:t>公顷。通过分类治理，植被结构明显改善，森林质量大幅提升。</w:t>
      </w:r>
    </w:p>
    <w:p>
      <w:pPr>
        <w:pStyle w:val="5"/>
        <w:numPr>
          <w:ilvl w:val="0"/>
          <w:numId w:val="14"/>
        </w:numPr>
        <w:spacing w:line="240" w:lineRule="auto"/>
        <w:ind w:left="0" w:firstLine="600" w:firstLineChars="200"/>
        <w:rPr>
          <w:rFonts w:eastAsia="仿宋_GB2312"/>
          <w:b w:val="0"/>
          <w:bCs w:val="0"/>
        </w:rPr>
      </w:pPr>
      <w:bookmarkStart w:id="84" w:name="_Toc130837925"/>
      <w:bookmarkStart w:id="85" w:name="_Toc130845578"/>
      <w:bookmarkStart w:id="86" w:name="_Toc129795596"/>
      <w:bookmarkStart w:id="87" w:name="_Toc130199796"/>
      <w:bookmarkStart w:id="88" w:name="_Toc130453150"/>
      <w:r>
        <w:rPr>
          <w:rFonts w:hint="eastAsia" w:eastAsia="仿宋_GB2312"/>
          <w:b w:val="0"/>
          <w:bCs w:val="0"/>
        </w:rPr>
        <w:t>远期目标</w:t>
      </w:r>
      <w:bookmarkEnd w:id="84"/>
      <w:bookmarkEnd w:id="85"/>
      <w:bookmarkEnd w:id="86"/>
      <w:bookmarkEnd w:id="87"/>
      <w:bookmarkEnd w:id="88"/>
    </w:p>
    <w:p>
      <w:pPr>
        <w:spacing w:line="560" w:lineRule="exact"/>
        <w:ind w:firstLine="600" w:firstLineChars="200"/>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color w:val="000000" w:themeColor="text1"/>
          <w:sz w:val="30"/>
          <w:szCs w:val="30"/>
        </w:rPr>
        <w:t>继续对</w:t>
      </w:r>
      <w:r>
        <w:rPr>
          <w:rFonts w:ascii="Times New Roman" w:hAnsi="Times New Roman" w:cs="Times New Roman"/>
          <w:sz w:val="30"/>
          <w:szCs w:val="30"/>
        </w:rPr>
        <w:t>31468.0695</w:t>
      </w:r>
      <w:r>
        <w:rPr>
          <w:rFonts w:hint="eastAsia" w:ascii="Times New Roman" w:hAnsi="Times New Roman" w:eastAsia="仿宋_GB2312" w:cs="Times New Roman"/>
          <w:color w:val="000000" w:themeColor="text1"/>
          <w:sz w:val="30"/>
          <w:szCs w:val="30"/>
        </w:rPr>
        <w:t>公顷沙化土地</w:t>
      </w:r>
      <w:r>
        <w:rPr>
          <w:rStyle w:val="33"/>
          <w:rFonts w:ascii="Times New Roman" w:hAnsi="Times New Roman" w:eastAsia="仿宋_GB2312" w:cs="Times New Roman"/>
          <w:color w:val="000000" w:themeColor="text1"/>
          <w:sz w:val="30"/>
          <w:szCs w:val="30"/>
        </w:rPr>
        <w:footnoteReference w:id="2"/>
      </w:r>
      <w:r>
        <w:rPr>
          <w:rFonts w:hint="eastAsia" w:ascii="Times New Roman" w:hAnsi="Times New Roman" w:eastAsia="仿宋_GB2312" w:cs="Times New Roman"/>
          <w:color w:val="000000" w:themeColor="text1"/>
          <w:sz w:val="30"/>
          <w:szCs w:val="30"/>
        </w:rPr>
        <w:t>进行防护，沙区植被覆盖度稳定增长，沙化程度持续减轻，沙化土地逐步减少；促进流动沙地转为半固定和固定沙地；防止植被状况较好的固定沙地和无退化危险的沙化耕地退化，至2</w:t>
      </w:r>
      <w:r>
        <w:rPr>
          <w:rFonts w:ascii="Times New Roman" w:hAnsi="Times New Roman" w:eastAsia="仿宋_GB2312" w:cs="Times New Roman"/>
          <w:color w:val="000000" w:themeColor="text1"/>
          <w:sz w:val="30"/>
          <w:szCs w:val="30"/>
        </w:rPr>
        <w:t>030</w:t>
      </w:r>
      <w:r>
        <w:rPr>
          <w:rFonts w:hint="eastAsia" w:ascii="Times New Roman" w:hAnsi="Times New Roman" w:eastAsia="仿宋_GB2312" w:cs="Times New Roman"/>
          <w:color w:val="000000" w:themeColor="text1"/>
          <w:sz w:val="30"/>
          <w:szCs w:val="30"/>
        </w:rPr>
        <w:t>年，</w:t>
      </w:r>
      <w:r>
        <w:rPr>
          <w:rFonts w:ascii="Times New Roman" w:hAnsi="Times New Roman" w:eastAsia="仿宋_GB2312" w:cs="Times New Roman"/>
          <w:color w:val="000000" w:themeColor="text1"/>
          <w:sz w:val="30"/>
          <w:szCs w:val="30"/>
        </w:rPr>
        <w:t>轻度沙化土地比例达99%以上</w:t>
      </w:r>
      <w:r>
        <w:rPr>
          <w:rFonts w:hint="eastAsia" w:ascii="Times New Roman" w:hAnsi="Times New Roman" w:eastAsia="仿宋_GB2312" w:cs="Times New Roman"/>
          <w:color w:val="000000" w:themeColor="text1"/>
          <w:sz w:val="30"/>
          <w:szCs w:val="30"/>
        </w:rPr>
        <w:t>。</w:t>
      </w: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89" w:name="_Toc130845579"/>
      <w:r>
        <w:rPr>
          <w:rFonts w:hint="eastAsia" w:ascii="Times New Roman" w:hAnsi="Times New Roman" w:eastAsia="黑体" w:cs="Times New Roman"/>
          <w:b w:val="0"/>
          <w:bCs w:val="0"/>
          <w:sz w:val="36"/>
          <w:szCs w:val="36"/>
        </w:rPr>
        <w:t>总体布局和分区</w:t>
      </w:r>
      <w:bookmarkEnd w:id="89"/>
      <w:r>
        <w:rPr>
          <w:rFonts w:hint="eastAsia" w:ascii="Times New Roman" w:hAnsi="Times New Roman" w:eastAsia="黑体" w:cs="Times New Roman"/>
          <w:b w:val="0"/>
          <w:bCs w:val="0"/>
          <w:sz w:val="36"/>
          <w:szCs w:val="36"/>
        </w:rPr>
        <w:t>策略</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按照区域防治与重点防治相结合的要求，本规划范围涉及</w:t>
      </w:r>
      <w:r>
        <w:rPr>
          <w:rFonts w:ascii="Times New Roman" w:hAnsi="Times New Roman" w:eastAsia="仿宋_GB2312" w:cs="Times New Roman"/>
          <w:color w:val="000000" w:themeColor="text1"/>
          <w:sz w:val="30"/>
          <w:szCs w:val="30"/>
        </w:rPr>
        <w:t>9个地级市23个县（市、区）</w:t>
      </w:r>
      <w:r>
        <w:rPr>
          <w:rFonts w:hint="eastAsia" w:ascii="Times New Roman" w:hAnsi="Times New Roman" w:eastAsia="仿宋_GB2312" w:cs="Times New Roman"/>
          <w:color w:val="000000" w:themeColor="text1"/>
          <w:sz w:val="30"/>
          <w:szCs w:val="30"/>
        </w:rPr>
        <w:t>，涵盖全部沙化土地，突出区域沙化土地的防治和修复。</w:t>
      </w:r>
    </w:p>
    <w:p>
      <w:pPr>
        <w:pStyle w:val="3"/>
        <w:numPr>
          <w:ilvl w:val="0"/>
          <w:numId w:val="15"/>
        </w:numPr>
        <w:spacing w:before="156" w:beforeLines="50" w:after="156" w:afterLines="50" w:line="276" w:lineRule="auto"/>
        <w:ind w:left="0" w:firstLine="640" w:firstLineChars="200"/>
        <w:rPr>
          <w:rFonts w:eastAsia="楷体"/>
          <w:b w:val="0"/>
          <w:bCs w:val="0"/>
          <w:sz w:val="32"/>
          <w:szCs w:val="32"/>
        </w:rPr>
      </w:pPr>
      <w:bookmarkStart w:id="90" w:name="_Toc130845580"/>
      <w:r>
        <w:rPr>
          <w:rFonts w:hint="eastAsia" w:eastAsia="楷体"/>
          <w:b w:val="0"/>
          <w:bCs w:val="0"/>
          <w:sz w:val="32"/>
          <w:szCs w:val="32"/>
        </w:rPr>
        <w:t>总体布局</w:t>
      </w:r>
      <w:bookmarkEnd w:id="90"/>
    </w:p>
    <w:p>
      <w:pPr>
        <w:spacing w:line="560" w:lineRule="exact"/>
        <w:ind w:firstLine="600" w:firstLineChars="200"/>
        <w:rPr>
          <w:rFonts w:ascii="Times New Roman" w:hAnsi="Times New Roman" w:eastAsia="仿宋_GB2312" w:cs="Times New Roman"/>
          <w:sz w:val="30"/>
          <w:szCs w:val="30"/>
        </w:rPr>
      </w:pPr>
      <w:bookmarkStart w:id="91" w:name="_Hlk130449881"/>
      <w:r>
        <w:rPr>
          <w:rFonts w:hint="eastAsia" w:ascii="Times New Roman" w:hAnsi="Times New Roman" w:eastAsia="仿宋_GB2312" w:cs="Times New Roman"/>
          <w:color w:val="000000" w:themeColor="text1"/>
          <w:sz w:val="30"/>
          <w:szCs w:val="30"/>
        </w:rPr>
        <w:t>根据《全国防沙治沙规划（2</w:t>
      </w:r>
      <w:r>
        <w:rPr>
          <w:rFonts w:ascii="Times New Roman" w:hAnsi="Times New Roman" w:eastAsia="仿宋_GB2312" w:cs="Times New Roman"/>
          <w:color w:val="000000" w:themeColor="text1"/>
          <w:sz w:val="30"/>
          <w:szCs w:val="30"/>
        </w:rPr>
        <w:t>021</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2030</w:t>
      </w:r>
      <w:r>
        <w:rPr>
          <w:rFonts w:hint="eastAsia" w:ascii="Times New Roman" w:hAnsi="Times New Roman" w:eastAsia="仿宋_GB2312" w:cs="Times New Roman"/>
          <w:color w:val="000000" w:themeColor="text1"/>
          <w:sz w:val="30"/>
          <w:szCs w:val="30"/>
        </w:rPr>
        <w:t>年）》，广东省属于沿海沿江湿润沙化土地类型区，海岸带沙地综合治理亚区。</w:t>
      </w:r>
      <w:r>
        <w:rPr>
          <w:rFonts w:hint="eastAsia" w:ascii="Times New Roman" w:hAnsi="Times New Roman" w:eastAsia="仿宋_GB2312" w:cs="Times New Roman"/>
          <w:sz w:val="30"/>
          <w:szCs w:val="30"/>
        </w:rPr>
        <w:t>综合考虑广东沿海沙化土地沿海岸线分布，且相对集中的分布特点，将沿海沙化土地分为粤东沿海沙化土地综合防治区和粤西沿海沙化土地综合防治区。</w:t>
      </w:r>
      <w:bookmarkEnd w:id="91"/>
    </w:p>
    <w:p>
      <w:pPr>
        <w:pStyle w:val="5"/>
        <w:numPr>
          <w:ilvl w:val="0"/>
          <w:numId w:val="16"/>
        </w:numPr>
        <w:spacing w:before="156" w:beforeLines="50" w:after="156" w:afterLines="50" w:line="240" w:lineRule="auto"/>
        <w:ind w:left="0" w:firstLine="600" w:firstLineChars="200"/>
        <w:rPr>
          <w:rFonts w:eastAsia="仿宋_GB2312"/>
          <w:b w:val="0"/>
          <w:bCs w:val="0"/>
        </w:rPr>
      </w:pPr>
      <w:bookmarkStart w:id="92" w:name="_Toc130453153"/>
      <w:bookmarkStart w:id="93" w:name="_Toc130845581"/>
      <w:bookmarkStart w:id="94" w:name="_Toc130837928"/>
      <w:r>
        <w:rPr>
          <w:rFonts w:hint="eastAsia" w:eastAsia="仿宋_GB2312"/>
          <w:b w:val="0"/>
          <w:bCs w:val="0"/>
        </w:rPr>
        <w:t>粤东沿海沙化土地综合防治区</w:t>
      </w:r>
      <w:bookmarkEnd w:id="92"/>
      <w:bookmarkEnd w:id="93"/>
      <w:bookmarkEnd w:id="94"/>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本区位于从福建省与广东交界处的大埕湾至广东省大亚湾，包括潮州、汕头、揭阳、汕尾、惠州5个地级市，共计1</w:t>
      </w:r>
      <w:r>
        <w:rPr>
          <w:rFonts w:ascii="Times New Roman" w:hAnsi="Times New Roman" w:eastAsia="仿宋_GB2312" w:cs="Times New Roman"/>
          <w:color w:val="000000" w:themeColor="text1"/>
          <w:sz w:val="30"/>
          <w:szCs w:val="30"/>
        </w:rPr>
        <w:t>2</w:t>
      </w:r>
      <w:r>
        <w:rPr>
          <w:rFonts w:hint="eastAsia" w:ascii="Times New Roman" w:hAnsi="Times New Roman" w:eastAsia="仿宋_GB2312" w:cs="Times New Roman"/>
          <w:color w:val="000000" w:themeColor="text1"/>
          <w:sz w:val="30"/>
          <w:szCs w:val="30"/>
        </w:rPr>
        <w:t>个县（市、区）。现有沙化土地面积</w:t>
      </w:r>
      <w:r>
        <w:rPr>
          <w:rFonts w:ascii="Times New Roman" w:hAnsi="Times New Roman" w:eastAsia="仿宋_GB2312" w:cs="Times New Roman"/>
          <w:color w:val="000000" w:themeColor="text1"/>
          <w:sz w:val="30"/>
          <w:szCs w:val="30"/>
        </w:rPr>
        <w:t>13990.3182</w:t>
      </w:r>
      <w:r>
        <w:rPr>
          <w:rFonts w:hint="eastAsia" w:ascii="Times New Roman" w:hAnsi="Times New Roman" w:eastAsia="仿宋_GB2312" w:cs="Times New Roman"/>
          <w:color w:val="000000" w:themeColor="text1"/>
          <w:sz w:val="30"/>
          <w:szCs w:val="30"/>
        </w:rPr>
        <w:t>公顷，占全省沙化土地总面积的4</w:t>
      </w:r>
      <w:r>
        <w:rPr>
          <w:rFonts w:ascii="Times New Roman" w:hAnsi="Times New Roman" w:eastAsia="仿宋_GB2312" w:cs="Times New Roman"/>
          <w:color w:val="000000" w:themeColor="text1"/>
          <w:sz w:val="30"/>
          <w:szCs w:val="30"/>
        </w:rPr>
        <w:t>1.21%</w:t>
      </w:r>
      <w:r>
        <w:rPr>
          <w:rFonts w:hint="eastAsia" w:ascii="Times New Roman" w:hAnsi="Times New Roman" w:eastAsia="仿宋_GB2312" w:cs="Times New Roman"/>
          <w:color w:val="000000" w:themeColor="text1"/>
          <w:sz w:val="30"/>
          <w:szCs w:val="30"/>
        </w:rPr>
        <w:t>。区域耕地面积</w:t>
      </w:r>
      <w:r>
        <w:rPr>
          <w:rFonts w:ascii="Times New Roman" w:hAnsi="Times New Roman" w:eastAsia="仿宋_GB2312" w:cs="Times New Roman"/>
          <w:color w:val="000000" w:themeColor="text1"/>
          <w:sz w:val="30"/>
          <w:szCs w:val="30"/>
        </w:rPr>
        <w:t>3143.8987</w:t>
      </w:r>
      <w:r>
        <w:rPr>
          <w:rFonts w:hint="eastAsia" w:ascii="Times New Roman" w:hAnsi="Times New Roman" w:eastAsia="仿宋_GB2312" w:cs="Times New Roman"/>
          <w:color w:val="000000" w:themeColor="text1"/>
          <w:sz w:val="30"/>
          <w:szCs w:val="30"/>
        </w:rPr>
        <w:t>公顷，林地面积</w:t>
      </w:r>
      <w:r>
        <w:rPr>
          <w:rFonts w:ascii="Times New Roman" w:hAnsi="Times New Roman" w:eastAsia="仿宋_GB2312" w:cs="Times New Roman"/>
          <w:color w:val="000000" w:themeColor="text1"/>
          <w:sz w:val="30"/>
          <w:szCs w:val="30"/>
        </w:rPr>
        <w:t>8823.0814</w:t>
      </w:r>
      <w:r>
        <w:rPr>
          <w:rFonts w:hint="eastAsia" w:ascii="Times New Roman" w:hAnsi="Times New Roman" w:eastAsia="仿宋_GB2312" w:cs="Times New Roman"/>
          <w:color w:val="000000" w:themeColor="text1"/>
          <w:sz w:val="30"/>
          <w:szCs w:val="30"/>
        </w:rPr>
        <w:t>公顷，草地面积</w:t>
      </w:r>
      <w:r>
        <w:rPr>
          <w:rFonts w:ascii="Times New Roman" w:hAnsi="Times New Roman" w:eastAsia="仿宋_GB2312" w:cs="Times New Roman"/>
          <w:color w:val="000000" w:themeColor="text1"/>
          <w:sz w:val="30"/>
          <w:szCs w:val="30"/>
        </w:rPr>
        <w:t>1999.1053</w:t>
      </w:r>
      <w:r>
        <w:rPr>
          <w:rFonts w:hint="eastAsia" w:ascii="Times New Roman" w:hAnsi="Times New Roman" w:eastAsia="仿宋_GB2312" w:cs="Times New Roman"/>
          <w:color w:val="000000" w:themeColor="text1"/>
          <w:sz w:val="30"/>
          <w:szCs w:val="30"/>
        </w:rPr>
        <w:t>公顷，其他土地面积</w:t>
      </w:r>
      <w:r>
        <w:rPr>
          <w:rFonts w:ascii="Times New Roman" w:hAnsi="Times New Roman" w:eastAsia="仿宋_GB2312" w:cs="Times New Roman"/>
          <w:color w:val="000000" w:themeColor="text1"/>
          <w:sz w:val="30"/>
          <w:szCs w:val="30"/>
        </w:rPr>
        <w:t>24.2328</w:t>
      </w:r>
      <w:r>
        <w:rPr>
          <w:rFonts w:hint="eastAsia" w:ascii="Times New Roman" w:hAnsi="Times New Roman" w:eastAsia="仿宋_GB2312" w:cs="Times New Roman"/>
          <w:color w:val="000000" w:themeColor="text1"/>
          <w:sz w:val="30"/>
          <w:szCs w:val="30"/>
        </w:rPr>
        <w:t>公顷。</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区域概况：该区基岩海岸、沙质海岸与淤泥质海岸交互分布，以丘陵、台地为主。大小风口较多，由于港口、养殖场、开发区建设及农业耕作等占用基干林带，加之台风、森林病虫害等危害，林带灾损、老化、退化严重，为防止土地进一步沙化，急需加强保护与提升修复。</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建设重点：以退化植被修复为重点，营造护岸林和防风固沙林，加强灾损、断裂林带修复，采取补植套种、更新改造等手段，对沙化土地中的疏残林地进行优化提升，对已治理的沙化土地进行森林抚育，优化乔灌草比例，改善林分结构，增强防风固沙、涵养水源、改良土质等功能。</w:t>
      </w:r>
    </w:p>
    <w:p>
      <w:pPr>
        <w:pStyle w:val="5"/>
        <w:numPr>
          <w:ilvl w:val="0"/>
          <w:numId w:val="16"/>
        </w:numPr>
        <w:spacing w:before="156" w:beforeLines="50" w:after="156" w:afterLines="50" w:line="240" w:lineRule="auto"/>
        <w:ind w:left="0" w:firstLine="600" w:firstLineChars="200"/>
        <w:rPr>
          <w:rFonts w:eastAsia="仿宋_GB2312"/>
          <w:b w:val="0"/>
          <w:bCs w:val="0"/>
        </w:rPr>
      </w:pPr>
      <w:bookmarkStart w:id="95" w:name="_Toc130453154"/>
      <w:bookmarkStart w:id="96" w:name="_Toc130845582"/>
      <w:bookmarkStart w:id="97" w:name="_Toc130837929"/>
      <w:r>
        <w:rPr>
          <w:rFonts w:hint="eastAsia" w:eastAsia="仿宋_GB2312"/>
          <w:b w:val="0"/>
          <w:bCs w:val="0"/>
        </w:rPr>
        <w:t>粤西沿海沙化土地综合防治区</w:t>
      </w:r>
      <w:bookmarkEnd w:id="95"/>
      <w:bookmarkEnd w:id="96"/>
      <w:bookmarkEnd w:id="9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本区位于广东广海湾至雷州半岛，包括江门、阳江、茂名、湛江4个地级市，共计1</w:t>
      </w:r>
      <w:r>
        <w:rPr>
          <w:rFonts w:ascii="Times New Roman" w:hAnsi="Times New Roman" w:eastAsia="仿宋_GB2312" w:cs="Times New Roman"/>
          <w:color w:val="000000" w:themeColor="text1"/>
          <w:sz w:val="30"/>
          <w:szCs w:val="30"/>
        </w:rPr>
        <w:t>1</w:t>
      </w:r>
      <w:r>
        <w:rPr>
          <w:rFonts w:hint="eastAsia" w:ascii="Times New Roman" w:hAnsi="Times New Roman" w:eastAsia="仿宋_GB2312" w:cs="Times New Roman"/>
          <w:color w:val="000000" w:themeColor="text1"/>
          <w:sz w:val="30"/>
          <w:szCs w:val="30"/>
        </w:rPr>
        <w:t>个县（市、区）。现有沙化土地面积</w:t>
      </w:r>
      <w:r>
        <w:rPr>
          <w:rFonts w:ascii="Times New Roman" w:hAnsi="Times New Roman" w:eastAsia="仿宋_GB2312" w:cs="Times New Roman"/>
          <w:color w:val="000000" w:themeColor="text1"/>
          <w:sz w:val="30"/>
          <w:szCs w:val="30"/>
        </w:rPr>
        <w:t>19954.4180</w:t>
      </w:r>
      <w:r>
        <w:rPr>
          <w:rFonts w:hint="eastAsia" w:ascii="Times New Roman" w:hAnsi="Times New Roman" w:eastAsia="仿宋_GB2312" w:cs="Times New Roman"/>
          <w:color w:val="000000" w:themeColor="text1"/>
          <w:sz w:val="30"/>
          <w:szCs w:val="30"/>
        </w:rPr>
        <w:t>公顷，占全省沙化土地总面积的</w:t>
      </w:r>
      <w:r>
        <w:rPr>
          <w:rFonts w:ascii="Times New Roman" w:hAnsi="Times New Roman" w:eastAsia="仿宋_GB2312" w:cs="Times New Roman"/>
          <w:color w:val="000000" w:themeColor="text1"/>
          <w:sz w:val="30"/>
          <w:szCs w:val="30"/>
        </w:rPr>
        <w:t>58.79%</w:t>
      </w:r>
      <w:r>
        <w:rPr>
          <w:rFonts w:hint="eastAsia" w:ascii="Times New Roman" w:hAnsi="Times New Roman" w:eastAsia="仿宋_GB2312" w:cs="Times New Roman"/>
          <w:color w:val="000000" w:themeColor="text1"/>
          <w:sz w:val="30"/>
          <w:szCs w:val="30"/>
        </w:rPr>
        <w:t>。区域耕地面积</w:t>
      </w:r>
      <w:r>
        <w:rPr>
          <w:rFonts w:ascii="Times New Roman" w:hAnsi="Times New Roman" w:eastAsia="仿宋_GB2312" w:cs="Times New Roman"/>
          <w:color w:val="000000" w:themeColor="text1"/>
          <w:sz w:val="30"/>
          <w:szCs w:val="30"/>
        </w:rPr>
        <w:t>3536.4344</w:t>
      </w:r>
      <w:r>
        <w:rPr>
          <w:rFonts w:hint="eastAsia" w:ascii="Times New Roman" w:hAnsi="Times New Roman" w:eastAsia="仿宋_GB2312" w:cs="Times New Roman"/>
          <w:color w:val="000000" w:themeColor="text1"/>
          <w:sz w:val="30"/>
          <w:szCs w:val="30"/>
        </w:rPr>
        <w:t>公顷，林地面积</w:t>
      </w:r>
      <w:r>
        <w:rPr>
          <w:rFonts w:ascii="Times New Roman" w:hAnsi="Times New Roman" w:eastAsia="仿宋_GB2312" w:cs="Times New Roman"/>
          <w:color w:val="000000" w:themeColor="text1"/>
          <w:sz w:val="30"/>
          <w:szCs w:val="30"/>
        </w:rPr>
        <w:t>14150.387</w:t>
      </w:r>
      <w:r>
        <w:rPr>
          <w:rFonts w:hint="eastAsia" w:ascii="Times New Roman" w:hAnsi="Times New Roman" w:eastAsia="仿宋_GB2312" w:cs="Times New Roman"/>
          <w:color w:val="000000" w:themeColor="text1"/>
          <w:sz w:val="30"/>
          <w:szCs w:val="30"/>
        </w:rPr>
        <w:t>公顷，草地面积</w:t>
      </w:r>
      <w:r>
        <w:rPr>
          <w:rFonts w:ascii="Times New Roman" w:hAnsi="Times New Roman" w:eastAsia="仿宋_GB2312" w:cs="Times New Roman"/>
          <w:color w:val="000000" w:themeColor="text1"/>
          <w:sz w:val="30"/>
          <w:szCs w:val="30"/>
        </w:rPr>
        <w:t>2221.0748</w:t>
      </w:r>
      <w:r>
        <w:rPr>
          <w:rFonts w:hint="eastAsia" w:ascii="Times New Roman" w:hAnsi="Times New Roman" w:eastAsia="仿宋_GB2312" w:cs="Times New Roman"/>
          <w:color w:val="000000" w:themeColor="text1"/>
          <w:sz w:val="30"/>
          <w:szCs w:val="30"/>
        </w:rPr>
        <w:t>公顷，其他土地面积</w:t>
      </w:r>
      <w:r>
        <w:rPr>
          <w:rFonts w:ascii="Times New Roman" w:hAnsi="Times New Roman" w:eastAsia="仿宋_GB2312" w:cs="Times New Roman"/>
          <w:color w:val="000000" w:themeColor="text1"/>
          <w:sz w:val="30"/>
          <w:szCs w:val="30"/>
        </w:rPr>
        <w:t>46.5218</w:t>
      </w:r>
      <w:r>
        <w:rPr>
          <w:rFonts w:hint="eastAsia" w:ascii="Times New Roman" w:hAnsi="Times New Roman" w:eastAsia="仿宋_GB2312" w:cs="Times New Roman"/>
          <w:color w:val="000000" w:themeColor="text1"/>
          <w:sz w:val="30"/>
          <w:szCs w:val="30"/>
        </w:rPr>
        <w:t>公顷。</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区域概况：该区以丘陵、台地为主，光热条件良好，雨量较为充沛，切沟、崩岗分布较多。现有沿海基干林带树种较单一，纯林多、混交林少，林带遭受台风、森林病虫害危害较严重。</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建设重点：强化灾损断裂林带修复和老化林带更新改造，加大风口地段造林力度，沿海岸营造防风固沙、护岸林和水土保持林，通过补植套种、更新改造、森林抚育，封山（沙）育林（草）等措施，提高林分质量，增强森林生态系统稳定性。</w:t>
      </w:r>
    </w:p>
    <w:p>
      <w:pPr>
        <w:pStyle w:val="3"/>
        <w:numPr>
          <w:ilvl w:val="0"/>
          <w:numId w:val="15"/>
        </w:numPr>
        <w:spacing w:before="156" w:beforeLines="50" w:after="156" w:afterLines="50" w:line="276" w:lineRule="auto"/>
        <w:ind w:left="0" w:firstLine="640" w:firstLineChars="200"/>
        <w:rPr>
          <w:rFonts w:eastAsia="楷体"/>
          <w:b w:val="0"/>
          <w:bCs w:val="0"/>
          <w:sz w:val="32"/>
          <w:szCs w:val="32"/>
        </w:rPr>
      </w:pPr>
      <w:bookmarkStart w:id="98" w:name="_Toc130845583"/>
      <w:r>
        <w:rPr>
          <w:rFonts w:hint="eastAsia" w:eastAsia="楷体"/>
          <w:b w:val="0"/>
          <w:bCs w:val="0"/>
          <w:sz w:val="32"/>
          <w:szCs w:val="32"/>
        </w:rPr>
        <w:t>分区</w:t>
      </w:r>
      <w:bookmarkEnd w:id="98"/>
      <w:r>
        <w:rPr>
          <w:rFonts w:hint="eastAsia" w:eastAsia="楷体"/>
          <w:b w:val="0"/>
          <w:bCs w:val="0"/>
          <w:sz w:val="32"/>
          <w:szCs w:val="32"/>
        </w:rPr>
        <w:t>策略</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广东省沙化土地均为可治理沙化土地，根据其分布特点和生态状况，将全部沙化土地分为预防区域和治理区域。</w:t>
      </w:r>
    </w:p>
    <w:p>
      <w:pPr>
        <w:pStyle w:val="5"/>
        <w:numPr>
          <w:ilvl w:val="0"/>
          <w:numId w:val="17"/>
        </w:numPr>
        <w:spacing w:before="156" w:beforeLines="50" w:after="156" w:afterLines="50" w:line="240" w:lineRule="auto"/>
        <w:ind w:left="0" w:firstLine="600" w:firstLineChars="200"/>
        <w:rPr>
          <w:rFonts w:eastAsia="仿宋_GB2312"/>
          <w:b w:val="0"/>
          <w:bCs w:val="0"/>
        </w:rPr>
      </w:pPr>
      <w:bookmarkStart w:id="99" w:name="_Toc130845584"/>
      <w:bookmarkStart w:id="100" w:name="_Toc130837931"/>
      <w:bookmarkStart w:id="101" w:name="_Toc130453156"/>
      <w:r>
        <w:rPr>
          <w:rFonts w:hint="eastAsia" w:eastAsia="仿宋_GB2312"/>
          <w:b w:val="0"/>
          <w:bCs w:val="0"/>
        </w:rPr>
        <w:t>预防区域</w:t>
      </w:r>
      <w:bookmarkEnd w:id="99"/>
      <w:bookmarkEnd w:id="100"/>
      <w:bookmarkEnd w:id="101"/>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对全省沙化土地中的流动沙地、已治理待自然恢复的半固定沙地、植被状况较好的固定沙地和无退化危险的沙化耕地划为预防区域，重点任务为采取分类的防护措施，防止沙化程度加重。</w:t>
      </w:r>
    </w:p>
    <w:p>
      <w:pPr>
        <w:pStyle w:val="5"/>
        <w:numPr>
          <w:ilvl w:val="0"/>
          <w:numId w:val="17"/>
        </w:numPr>
        <w:spacing w:before="156" w:beforeLines="50" w:after="156" w:afterLines="50" w:line="240" w:lineRule="auto"/>
        <w:ind w:left="0" w:firstLine="600" w:firstLineChars="200"/>
        <w:rPr>
          <w:rFonts w:eastAsia="仿宋_GB2312"/>
          <w:b w:val="0"/>
          <w:bCs w:val="0"/>
        </w:rPr>
      </w:pPr>
      <w:bookmarkStart w:id="102" w:name="_Toc130453157"/>
      <w:bookmarkStart w:id="103" w:name="_Toc130845585"/>
      <w:bookmarkStart w:id="104" w:name="_Toc130837932"/>
      <w:r>
        <w:rPr>
          <w:rFonts w:hint="eastAsia" w:eastAsia="仿宋_GB2312"/>
          <w:b w:val="0"/>
          <w:bCs w:val="0"/>
        </w:rPr>
        <w:t>治理区域</w:t>
      </w:r>
      <w:bookmarkEnd w:id="102"/>
      <w:bookmarkEnd w:id="103"/>
      <w:bookmarkEnd w:id="104"/>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针对尚未治理的沙化土地中的</w:t>
      </w:r>
      <w:r>
        <w:rPr>
          <w:rFonts w:hint="eastAsia" w:ascii="Times New Roman" w:hAnsi="Times New Roman" w:eastAsia="仿宋_GB2312" w:cs="Times New Roman"/>
          <w:sz w:val="30"/>
          <w:szCs w:val="30"/>
        </w:rPr>
        <w:t>宜林宜草地</w:t>
      </w:r>
      <w:r>
        <w:rPr>
          <w:rFonts w:hint="eastAsia" w:ascii="Times New Roman" w:hAnsi="Times New Roman" w:eastAsia="仿宋_GB2312" w:cs="Times New Roman"/>
          <w:color w:val="000000" w:themeColor="text1"/>
          <w:sz w:val="30"/>
          <w:szCs w:val="30"/>
        </w:rPr>
        <w:t>，主要采取人工造林种草等措施增加植被有效覆盖，减少沙土的流失。针对已经治理的沙化土地，将</w:t>
      </w:r>
      <w:r>
        <w:rPr>
          <w:rFonts w:ascii="Times New Roman" w:hAnsi="Times New Roman" w:eastAsia="仿宋_GB2312" w:cs="Times New Roman"/>
          <w:color w:val="000000" w:themeColor="text1"/>
          <w:sz w:val="30"/>
          <w:szCs w:val="30"/>
        </w:rPr>
        <w:t>林</w:t>
      </w:r>
      <w:r>
        <w:rPr>
          <w:rFonts w:hint="eastAsia" w:ascii="Times New Roman" w:hAnsi="Times New Roman" w:eastAsia="仿宋_GB2312" w:cs="Times New Roman"/>
          <w:color w:val="000000" w:themeColor="text1"/>
          <w:sz w:val="30"/>
          <w:szCs w:val="30"/>
        </w:rPr>
        <w:t>木</w:t>
      </w:r>
      <w:r>
        <w:rPr>
          <w:rFonts w:ascii="Times New Roman" w:hAnsi="Times New Roman" w:eastAsia="仿宋_GB2312" w:cs="Times New Roman"/>
          <w:color w:val="000000" w:themeColor="text1"/>
          <w:sz w:val="30"/>
          <w:szCs w:val="30"/>
        </w:rPr>
        <w:t>生长衰竭、难以自然更新</w:t>
      </w:r>
      <w:r>
        <w:rPr>
          <w:rFonts w:hint="eastAsia" w:ascii="Times New Roman" w:hAnsi="Times New Roman" w:eastAsia="仿宋_GB2312" w:cs="Times New Roman"/>
          <w:color w:val="000000" w:themeColor="text1"/>
          <w:sz w:val="30"/>
          <w:szCs w:val="30"/>
        </w:rPr>
        <w:t>、植被覆盖度较低的林分，以及在沙化土地中遭受台风破坏的低效林划为治理区域，需要因地制宜、因害设防，采取不同的修复措施，加大防沙治沙力度。</w:t>
      </w:r>
    </w:p>
    <w:p>
      <w:pPr>
        <w:pStyle w:val="3"/>
        <w:numPr>
          <w:ilvl w:val="0"/>
          <w:numId w:val="15"/>
        </w:numPr>
        <w:spacing w:before="156" w:beforeLines="50" w:after="156" w:afterLines="50" w:line="276" w:lineRule="auto"/>
        <w:ind w:left="0" w:firstLine="640" w:firstLineChars="200"/>
        <w:rPr>
          <w:rFonts w:eastAsia="楷体"/>
          <w:b w:val="0"/>
          <w:bCs w:val="0"/>
          <w:sz w:val="32"/>
          <w:szCs w:val="32"/>
        </w:rPr>
      </w:pPr>
      <w:bookmarkStart w:id="105" w:name="_Toc130845586"/>
      <w:bookmarkStart w:id="106" w:name="_Toc130453158"/>
      <w:r>
        <w:rPr>
          <w:rFonts w:hint="eastAsia" w:eastAsia="楷体"/>
          <w:b w:val="0"/>
          <w:bCs w:val="0"/>
          <w:sz w:val="32"/>
          <w:szCs w:val="32"/>
        </w:rPr>
        <w:t>治理工程</w:t>
      </w:r>
      <w:bookmarkEnd w:id="105"/>
      <w:bookmarkEnd w:id="106"/>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以绿美广东生态建设为依托，结合森林质量精准提升行动和沿海防护林体系建设工程，推动沙化土地治理任务完成。</w:t>
      </w:r>
    </w:p>
    <w:p>
      <w:pPr>
        <w:spacing w:line="560" w:lineRule="exact"/>
        <w:ind w:firstLine="600" w:firstLineChars="200"/>
        <w:rPr>
          <w:rFonts w:ascii="Times New Roman" w:hAnsi="Times New Roman" w:eastAsia="仿宋_GB2312" w:cs="Times New Roman"/>
          <w:color w:val="000000" w:themeColor="text1"/>
          <w:sz w:val="30"/>
          <w:szCs w:val="30"/>
        </w:rPr>
      </w:pPr>
    </w:p>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107" w:name="_Toc130845587"/>
      <w:r>
        <w:rPr>
          <w:rFonts w:hint="eastAsia" w:ascii="Times New Roman" w:hAnsi="Times New Roman" w:eastAsia="黑体" w:cs="Times New Roman"/>
          <w:b w:val="0"/>
          <w:bCs w:val="0"/>
          <w:sz w:val="36"/>
          <w:szCs w:val="36"/>
        </w:rPr>
        <w:t>沙化土地分类防护</w:t>
      </w:r>
      <w:bookmarkEnd w:id="10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坚持预防为主、实行沙化土地分类防护，全面落实各项防护制度，充分发挥生态系统自然修复功能，促进植被休养生息，从源头上有效控制土地沙化。</w:t>
      </w:r>
    </w:p>
    <w:p>
      <w:pPr>
        <w:pStyle w:val="3"/>
        <w:numPr>
          <w:ilvl w:val="0"/>
          <w:numId w:val="18"/>
        </w:numPr>
        <w:spacing w:before="156" w:beforeLines="50" w:after="156" w:afterLines="50" w:line="276" w:lineRule="auto"/>
        <w:ind w:left="0" w:firstLine="640" w:firstLineChars="200"/>
        <w:rPr>
          <w:rFonts w:eastAsia="楷体"/>
          <w:b w:val="0"/>
          <w:bCs w:val="0"/>
          <w:sz w:val="32"/>
          <w:szCs w:val="32"/>
        </w:rPr>
      </w:pPr>
      <w:bookmarkStart w:id="108" w:name="_Toc130845588"/>
      <w:r>
        <w:rPr>
          <w:rFonts w:hint="eastAsia" w:eastAsia="楷体"/>
          <w:b w:val="0"/>
          <w:bCs w:val="0"/>
          <w:sz w:val="32"/>
          <w:szCs w:val="32"/>
        </w:rPr>
        <w:t>主要防护内容及规划目标</w:t>
      </w:r>
      <w:bookmarkEnd w:id="108"/>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沙化土地防护对象包括流动沙地、已治理待自然恢复的半固定沙地、植被状况较好的固定沙地和无退化危险的沙化耕地，总面积</w:t>
      </w:r>
      <w:r>
        <w:rPr>
          <w:rFonts w:ascii="Times New Roman" w:hAnsi="Times New Roman" w:cs="Times New Roman"/>
          <w:sz w:val="30"/>
          <w:szCs w:val="30"/>
        </w:rPr>
        <w:t>31468.0695</w:t>
      </w:r>
      <w:r>
        <w:rPr>
          <w:rFonts w:hint="eastAsia" w:ascii="Times New Roman" w:hAnsi="Times New Roman" w:eastAsia="仿宋_GB2312" w:cs="Times New Roman"/>
          <w:color w:val="000000" w:themeColor="text1"/>
          <w:sz w:val="30"/>
          <w:szCs w:val="30"/>
        </w:rPr>
        <w:t>公顷。</w:t>
      </w:r>
    </w:p>
    <w:p>
      <w:pPr>
        <w:pStyle w:val="5"/>
        <w:numPr>
          <w:ilvl w:val="0"/>
          <w:numId w:val="19"/>
        </w:numPr>
        <w:spacing w:before="156" w:beforeLines="50" w:after="156" w:afterLines="50" w:line="240" w:lineRule="auto"/>
        <w:ind w:left="0" w:firstLine="600" w:firstLineChars="200"/>
        <w:rPr>
          <w:rFonts w:eastAsia="仿宋_GB2312"/>
          <w:b w:val="0"/>
          <w:bCs w:val="0"/>
        </w:rPr>
      </w:pPr>
      <w:bookmarkStart w:id="109" w:name="_Toc130199816"/>
      <w:bookmarkStart w:id="110" w:name="_Toc130453165"/>
      <w:bookmarkStart w:id="111" w:name="_Toc129795599"/>
      <w:bookmarkStart w:id="112" w:name="_Toc130837936"/>
      <w:bookmarkStart w:id="113" w:name="_Toc130845589"/>
      <w:r>
        <w:rPr>
          <w:rFonts w:hint="eastAsia" w:eastAsia="仿宋_GB2312"/>
          <w:b w:val="0"/>
          <w:bCs w:val="0"/>
        </w:rPr>
        <w:t>流动沙地</w:t>
      </w:r>
      <w:bookmarkEnd w:id="109"/>
      <w:bookmarkEnd w:id="110"/>
      <w:bookmarkEnd w:id="111"/>
      <w:bookmarkEnd w:id="112"/>
      <w:bookmarkEnd w:id="113"/>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广东省沙化土地中的流动沙地均为海水冲刷到岸线，目前尚未植被</w:t>
      </w:r>
      <w:r>
        <w:rPr>
          <w:rFonts w:ascii="Times New Roman" w:hAnsi="Times New Roman" w:eastAsia="仿宋_GB2312" w:cs="Times New Roman"/>
          <w:color w:val="000000" w:themeColor="text1"/>
          <w:sz w:val="30"/>
          <w:szCs w:val="30"/>
        </w:rPr>
        <w:t>覆盖的沙滩地，容易受到风暴的影响。由于流动沙地结构尚不稳定，不适合开展植草造林，因此，对流动沙地主要采取</w:t>
      </w:r>
      <w:r>
        <w:rPr>
          <w:rFonts w:hint="eastAsia" w:ascii="Times New Roman" w:hAnsi="Times New Roman" w:eastAsia="仿宋_GB2312" w:cs="Times New Roman"/>
          <w:color w:val="000000" w:themeColor="text1"/>
          <w:sz w:val="30"/>
          <w:szCs w:val="30"/>
        </w:rPr>
        <w:t>防</w:t>
      </w:r>
      <w:r>
        <w:rPr>
          <w:rFonts w:ascii="Times New Roman" w:hAnsi="Times New Roman" w:eastAsia="仿宋_GB2312" w:cs="Times New Roman"/>
          <w:color w:val="000000" w:themeColor="text1"/>
          <w:sz w:val="30"/>
          <w:szCs w:val="30"/>
        </w:rPr>
        <w:t>护的措施，同时通过营建沿海沙岸防护林阻止风沙的吹袭，使流动沙地尽快转为半固定和固定沙地。根据调查，广东省现有流动沙地面积56.6837公顷。</w:t>
      </w:r>
    </w:p>
    <w:p>
      <w:pPr>
        <w:pStyle w:val="5"/>
        <w:numPr>
          <w:ilvl w:val="0"/>
          <w:numId w:val="19"/>
        </w:numPr>
        <w:spacing w:before="156" w:beforeLines="50" w:after="156" w:afterLines="50" w:line="240" w:lineRule="auto"/>
        <w:ind w:left="0" w:firstLine="600" w:firstLineChars="200"/>
        <w:rPr>
          <w:rFonts w:eastAsia="仿宋_GB2312"/>
          <w:b w:val="0"/>
          <w:bCs w:val="0"/>
        </w:rPr>
      </w:pPr>
      <w:bookmarkStart w:id="114" w:name="_Toc130199817"/>
      <w:bookmarkStart w:id="115" w:name="_Toc130453166"/>
      <w:bookmarkStart w:id="116" w:name="_Toc130845590"/>
      <w:bookmarkStart w:id="117" w:name="_Toc130837937"/>
      <w:r>
        <w:rPr>
          <w:rFonts w:hint="eastAsia" w:eastAsia="仿宋_GB2312"/>
          <w:b w:val="0"/>
          <w:bCs w:val="0"/>
        </w:rPr>
        <w:t>半固定沙地</w:t>
      </w:r>
      <w:bookmarkEnd w:id="114"/>
      <w:bookmarkEnd w:id="115"/>
      <w:bookmarkEnd w:id="116"/>
      <w:bookmarkEnd w:id="11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根据调查，现有沙化土地中，存在</w:t>
      </w:r>
      <w:r>
        <w:rPr>
          <w:rFonts w:ascii="Times New Roman" w:hAnsi="Times New Roman" w:eastAsia="仿宋_GB2312" w:cs="Times New Roman"/>
          <w:color w:val="000000" w:themeColor="text1"/>
          <w:sz w:val="30"/>
          <w:szCs w:val="30"/>
        </w:rPr>
        <w:t>8.5919</w:t>
      </w:r>
      <w:r>
        <w:rPr>
          <w:rFonts w:hint="eastAsia" w:ascii="Times New Roman" w:hAnsi="Times New Roman" w:eastAsia="仿宋_GB2312" w:cs="Times New Roman"/>
          <w:color w:val="000000" w:themeColor="text1"/>
          <w:sz w:val="30"/>
          <w:szCs w:val="30"/>
        </w:rPr>
        <w:t>公顷半固定沙地，风沙活动强烈，植被盖度不足2</w:t>
      </w:r>
      <w:r>
        <w:rPr>
          <w:rFonts w:ascii="Times New Roman" w:hAnsi="Times New Roman" w:eastAsia="仿宋_GB2312" w:cs="Times New Roman"/>
          <w:color w:val="000000" w:themeColor="text1"/>
          <w:sz w:val="30"/>
          <w:szCs w:val="30"/>
        </w:rPr>
        <w:t>0%</w:t>
      </w:r>
      <w:r>
        <w:rPr>
          <w:rFonts w:hint="eastAsia" w:ascii="Times New Roman" w:hAnsi="Times New Roman" w:eastAsia="仿宋_GB2312" w:cs="Times New Roman"/>
          <w:color w:val="000000" w:themeColor="text1"/>
          <w:sz w:val="30"/>
          <w:szCs w:val="30"/>
        </w:rPr>
        <w:t>，沙化严重，暂不具备治理条件，因而划为防护范围，在规划期内，加强管护，充分发挥自然修复作用，促进植被恢复和沙化状况好转。</w:t>
      </w:r>
    </w:p>
    <w:p>
      <w:pPr>
        <w:pStyle w:val="5"/>
        <w:numPr>
          <w:ilvl w:val="0"/>
          <w:numId w:val="19"/>
        </w:numPr>
        <w:spacing w:before="156" w:beforeLines="50" w:after="156" w:afterLines="50" w:line="240" w:lineRule="auto"/>
        <w:ind w:left="0" w:firstLine="600" w:firstLineChars="200"/>
        <w:rPr>
          <w:rFonts w:eastAsia="仿宋_GB2312"/>
          <w:b w:val="0"/>
          <w:bCs w:val="0"/>
        </w:rPr>
      </w:pPr>
      <w:bookmarkStart w:id="118" w:name="_Toc130837938"/>
      <w:bookmarkStart w:id="119" w:name="_Toc129795600"/>
      <w:bookmarkStart w:id="120" w:name="_Toc130845591"/>
      <w:bookmarkStart w:id="121" w:name="_Toc130199818"/>
      <w:bookmarkStart w:id="122" w:name="_Toc130453167"/>
      <w:r>
        <w:rPr>
          <w:rFonts w:hint="eastAsia" w:eastAsia="仿宋_GB2312"/>
          <w:b w:val="0"/>
          <w:bCs w:val="0"/>
        </w:rPr>
        <w:t>固定沙地</w:t>
      </w:r>
      <w:bookmarkEnd w:id="118"/>
      <w:bookmarkEnd w:id="119"/>
      <w:bookmarkEnd w:id="120"/>
      <w:bookmarkEnd w:id="121"/>
      <w:bookmarkEnd w:id="122"/>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根据调查，现有沙化土地中，植被状况较好，在一般情况下不会发</w:t>
      </w:r>
      <w:r>
        <w:rPr>
          <w:rFonts w:ascii="Times New Roman" w:hAnsi="Times New Roman" w:eastAsia="仿宋_GB2312" w:cs="Times New Roman"/>
          <w:color w:val="000000" w:themeColor="text1"/>
          <w:sz w:val="30"/>
          <w:szCs w:val="30"/>
        </w:rPr>
        <w:t>生逆转退化的固定沙地24722.4608公顷，对于这些已经经过治理，并取得了明显效果的沙化土地，无需再采用生物、工程治理措施，但需要加以</w:t>
      </w:r>
      <w:r>
        <w:rPr>
          <w:rFonts w:hint="eastAsia" w:ascii="Times New Roman" w:hAnsi="Times New Roman" w:eastAsia="仿宋_GB2312" w:cs="Times New Roman"/>
          <w:color w:val="000000" w:themeColor="text1"/>
          <w:sz w:val="30"/>
          <w:szCs w:val="30"/>
        </w:rPr>
        <w:t>防</w:t>
      </w:r>
      <w:r>
        <w:rPr>
          <w:rFonts w:ascii="Times New Roman" w:hAnsi="Times New Roman" w:eastAsia="仿宋_GB2312" w:cs="Times New Roman"/>
          <w:color w:val="000000" w:themeColor="text1"/>
          <w:sz w:val="30"/>
          <w:szCs w:val="30"/>
        </w:rPr>
        <w:t>护，以巩固沙化土地治理成果。</w:t>
      </w:r>
    </w:p>
    <w:p>
      <w:pPr>
        <w:pStyle w:val="5"/>
        <w:numPr>
          <w:ilvl w:val="0"/>
          <w:numId w:val="19"/>
        </w:numPr>
        <w:spacing w:before="156" w:beforeLines="50" w:after="156" w:afterLines="50" w:line="240" w:lineRule="auto"/>
        <w:ind w:left="0" w:firstLine="600" w:firstLineChars="200"/>
        <w:rPr>
          <w:rFonts w:eastAsia="仿宋_GB2312"/>
          <w:b w:val="0"/>
          <w:bCs w:val="0"/>
        </w:rPr>
      </w:pPr>
      <w:bookmarkStart w:id="123" w:name="_Toc130837939"/>
      <w:bookmarkStart w:id="124" w:name="_Toc130845592"/>
      <w:bookmarkStart w:id="125" w:name="_Toc130199819"/>
      <w:bookmarkStart w:id="126" w:name="_Toc130453168"/>
      <w:bookmarkStart w:id="127" w:name="_Toc129795601"/>
      <w:r>
        <w:rPr>
          <w:rFonts w:hint="eastAsia" w:eastAsia="仿宋_GB2312"/>
          <w:b w:val="0"/>
          <w:bCs w:val="0"/>
        </w:rPr>
        <w:t>沙化耕地</w:t>
      </w:r>
      <w:bookmarkEnd w:id="123"/>
      <w:bookmarkEnd w:id="124"/>
      <w:bookmarkEnd w:id="125"/>
      <w:bookmarkEnd w:id="126"/>
      <w:bookmarkEnd w:id="12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对于不存在退化危险的耕地，要求继续保持良好的耕作工艺，</w:t>
      </w:r>
      <w:r>
        <w:rPr>
          <w:rFonts w:ascii="Times New Roman" w:hAnsi="Times New Roman" w:eastAsia="仿宋_GB2312" w:cs="Times New Roman"/>
          <w:color w:val="000000" w:themeColor="text1"/>
          <w:sz w:val="30"/>
          <w:szCs w:val="30"/>
        </w:rPr>
        <w:t>确保沙化耕地不退化。根据调查，这部分耕地面积共有6680.3331公顷。</w:t>
      </w:r>
    </w:p>
    <w:p>
      <w:pPr>
        <w:pStyle w:val="7"/>
        <w:keepNext/>
        <w:spacing w:before="156" w:before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表4-</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表5-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1</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广东省防沙治沙工程沙化土地</w:t>
      </w:r>
      <w:r>
        <w:rPr>
          <w:rFonts w:hint="eastAsia" w:ascii="Times New Roman" w:hAnsi="Times New Roman" w:eastAsia="方正小标宋简体" w:cs="Times New Roman"/>
          <w:sz w:val="28"/>
          <w:szCs w:val="28"/>
        </w:rPr>
        <w:t>防护</w:t>
      </w:r>
      <w:r>
        <w:rPr>
          <w:rFonts w:ascii="Times New Roman" w:hAnsi="Times New Roman" w:eastAsia="方正小标宋简体" w:cs="Times New Roman"/>
          <w:sz w:val="28"/>
          <w:szCs w:val="28"/>
        </w:rPr>
        <w:t>面积规划表</w:t>
      </w:r>
    </w:p>
    <w:p>
      <w:pPr>
        <w:jc w:val="right"/>
        <w:rPr>
          <w:rFonts w:ascii="仿宋_GB2312" w:eastAsia="仿宋_GB2312"/>
        </w:rPr>
      </w:pPr>
      <w:r>
        <w:rPr>
          <w:rFonts w:hint="eastAsia" w:ascii="仿宋_GB2312" w:eastAsia="仿宋_GB2312"/>
        </w:rPr>
        <w:t>单位：公顷</w:t>
      </w:r>
    </w:p>
    <w:tbl>
      <w:tblPr>
        <w:tblStyle w:val="26"/>
        <w:tblW w:w="8522" w:type="dxa"/>
        <w:tblInd w:w="0" w:type="dxa"/>
        <w:tblLayout w:type="fixed"/>
        <w:tblCellMar>
          <w:top w:w="0" w:type="dxa"/>
          <w:left w:w="108" w:type="dxa"/>
          <w:bottom w:w="0" w:type="dxa"/>
          <w:right w:w="108" w:type="dxa"/>
        </w:tblCellMar>
      </w:tblPr>
      <w:tblGrid>
        <w:gridCol w:w="1142"/>
        <w:gridCol w:w="1515"/>
        <w:gridCol w:w="1577"/>
        <w:gridCol w:w="1415"/>
        <w:gridCol w:w="1503"/>
        <w:gridCol w:w="1370"/>
      </w:tblGrid>
      <w:tr>
        <w:tblPrEx>
          <w:tblCellMar>
            <w:top w:w="0" w:type="dxa"/>
            <w:left w:w="108" w:type="dxa"/>
            <w:bottom w:w="0" w:type="dxa"/>
            <w:right w:w="108" w:type="dxa"/>
          </w:tblCellMar>
        </w:tblPrEx>
        <w:trPr>
          <w:trHeight w:val="276" w:hRule="atLeast"/>
        </w:trPr>
        <w:tc>
          <w:tcPr>
            <w:tcW w:w="11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统计单位</w:t>
            </w:r>
          </w:p>
        </w:tc>
        <w:tc>
          <w:tcPr>
            <w:tcW w:w="15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合计</w:t>
            </w:r>
          </w:p>
        </w:tc>
        <w:tc>
          <w:tcPr>
            <w:tcW w:w="5865" w:type="dxa"/>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b/>
                <w:bCs/>
                <w:color w:val="000000"/>
                <w:kern w:val="0"/>
                <w:szCs w:val="21"/>
              </w:rPr>
            </w:pPr>
            <w:r>
              <w:rPr>
                <w:rFonts w:hint="eastAsia" w:ascii="Times New Roman" w:hAnsi="Times New Roman" w:eastAsia="仿宋_GB2312" w:cs="Times New Roman"/>
                <w:b/>
                <w:bCs/>
                <w:color w:val="000000"/>
                <w:kern w:val="0"/>
                <w:szCs w:val="21"/>
              </w:rPr>
              <w:t>沙化土地</w:t>
            </w:r>
            <w:r>
              <w:rPr>
                <w:rFonts w:ascii="Times New Roman" w:hAnsi="Times New Roman" w:eastAsia="仿宋_GB2312" w:cs="Times New Roman"/>
                <w:b/>
                <w:bCs/>
                <w:color w:val="000000"/>
                <w:kern w:val="0"/>
                <w:szCs w:val="21"/>
              </w:rPr>
              <w:t>类型</w:t>
            </w:r>
          </w:p>
        </w:tc>
      </w:tr>
      <w:tr>
        <w:tblPrEx>
          <w:tblCellMar>
            <w:top w:w="0" w:type="dxa"/>
            <w:left w:w="108" w:type="dxa"/>
            <w:bottom w:w="0" w:type="dxa"/>
            <w:right w:w="108" w:type="dxa"/>
          </w:tblCellMar>
        </w:tblPrEx>
        <w:trPr>
          <w:trHeight w:val="276" w:hRule="atLeast"/>
        </w:trPr>
        <w:tc>
          <w:tcPr>
            <w:tcW w:w="11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Cs w:val="21"/>
              </w:rPr>
            </w:pPr>
          </w:p>
        </w:tc>
        <w:tc>
          <w:tcPr>
            <w:tcW w:w="15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Cs w:val="21"/>
              </w:rPr>
            </w:pPr>
          </w:p>
        </w:tc>
        <w:tc>
          <w:tcPr>
            <w:tcW w:w="15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流动沙地(丘)</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半固定沙地</w:t>
            </w:r>
          </w:p>
        </w:tc>
        <w:tc>
          <w:tcPr>
            <w:tcW w:w="15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固定沙地</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沙化耕地</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广东省</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31468.0695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56.6837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8.5919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24722.4608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6680.3331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汕头市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1198.4251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7.8854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711.9817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478.5580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江门市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88.6694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86.0590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2.6104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湛江市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15200.3382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27.6984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0.7065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12107.3470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3064.5863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茂名市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1634.5349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1345.3037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289.2312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惠州市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11.1868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1.1278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10.0590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汕尾市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7663.5918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19.0515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6199.3061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1445.2342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阳江市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2107.5422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9.4728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1918.0629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180.0065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潮州市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902.1536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0.0701 </w:t>
            </w:r>
          </w:p>
        </w:tc>
        <w:tc>
          <w:tcPr>
            <w:tcW w:w="14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452.8123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449.2712 </w:t>
            </w:r>
          </w:p>
        </w:tc>
      </w:tr>
      <w:tr>
        <w:tblPrEx>
          <w:tblCellMar>
            <w:top w:w="0" w:type="dxa"/>
            <w:left w:w="108" w:type="dxa"/>
            <w:bottom w:w="0" w:type="dxa"/>
            <w:right w:w="108" w:type="dxa"/>
          </w:tblCellMar>
        </w:tblPrEx>
        <w:trPr>
          <w:trHeight w:val="276" w:hRule="atLeast"/>
        </w:trPr>
        <w:tc>
          <w:tcPr>
            <w:tcW w:w="1142"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揭阳市</w:t>
            </w:r>
          </w:p>
        </w:tc>
        <w:tc>
          <w:tcPr>
            <w:tcW w:w="15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2661.6276 </w:t>
            </w:r>
          </w:p>
        </w:tc>
        <w:tc>
          <w:tcPr>
            <w:tcW w:w="1577"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0.3909 </w:t>
            </w:r>
          </w:p>
        </w:tc>
        <w:tc>
          <w:tcPr>
            <w:tcW w:w="1415"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0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1900.4604 </w:t>
            </w:r>
          </w:p>
        </w:tc>
        <w:tc>
          <w:tcPr>
            <w:tcW w:w="137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760.7763 </w:t>
            </w:r>
          </w:p>
        </w:tc>
      </w:tr>
    </w:tbl>
    <w:p>
      <w:pPr>
        <w:pStyle w:val="3"/>
        <w:numPr>
          <w:ilvl w:val="0"/>
          <w:numId w:val="18"/>
        </w:numPr>
        <w:spacing w:before="156" w:beforeLines="50" w:after="156" w:afterLines="50" w:line="276" w:lineRule="auto"/>
        <w:ind w:left="0" w:firstLine="640" w:firstLineChars="200"/>
        <w:rPr>
          <w:rFonts w:eastAsia="楷体"/>
          <w:b w:val="0"/>
          <w:bCs w:val="0"/>
          <w:sz w:val="32"/>
          <w:szCs w:val="32"/>
        </w:rPr>
      </w:pPr>
      <w:bookmarkStart w:id="128" w:name="_Toc130845593"/>
      <w:r>
        <w:rPr>
          <w:rFonts w:hint="eastAsia" w:eastAsia="楷体"/>
          <w:b w:val="0"/>
          <w:bCs w:val="0"/>
          <w:sz w:val="32"/>
          <w:szCs w:val="32"/>
        </w:rPr>
        <w:t>主要防护措施</w:t>
      </w:r>
      <w:bookmarkEnd w:id="128"/>
    </w:p>
    <w:p>
      <w:pPr>
        <w:pStyle w:val="5"/>
        <w:numPr>
          <w:ilvl w:val="0"/>
          <w:numId w:val="20"/>
        </w:numPr>
        <w:spacing w:before="156" w:beforeLines="50" w:after="156" w:afterLines="50" w:line="240" w:lineRule="auto"/>
        <w:ind w:left="0" w:firstLine="600" w:firstLineChars="200"/>
        <w:rPr>
          <w:rFonts w:eastAsia="仿宋_GB2312"/>
          <w:b w:val="0"/>
          <w:bCs w:val="0"/>
        </w:rPr>
      </w:pPr>
      <w:bookmarkStart w:id="129" w:name="_Toc130199812"/>
      <w:bookmarkStart w:id="130" w:name="_Toc129795616"/>
      <w:bookmarkStart w:id="131" w:name="_Toc130453161"/>
      <w:bookmarkStart w:id="132" w:name="_Toc130845594"/>
      <w:bookmarkStart w:id="133" w:name="_Toc130837941"/>
      <w:r>
        <w:rPr>
          <w:rFonts w:hint="eastAsia" w:eastAsia="仿宋_GB2312"/>
          <w:b w:val="0"/>
          <w:bCs w:val="0"/>
        </w:rPr>
        <w:t>依法加强</w:t>
      </w:r>
      <w:bookmarkEnd w:id="129"/>
      <w:bookmarkEnd w:id="130"/>
      <w:bookmarkEnd w:id="131"/>
      <w:r>
        <w:rPr>
          <w:rFonts w:hint="eastAsia" w:eastAsia="仿宋_GB2312"/>
          <w:b w:val="0"/>
          <w:bCs w:val="0"/>
        </w:rPr>
        <w:t>沙化土地管理</w:t>
      </w:r>
      <w:bookmarkEnd w:id="132"/>
      <w:bookmarkEnd w:id="133"/>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严格执行防沙治沙法、</w:t>
      </w:r>
      <w:r>
        <w:rPr>
          <w:rFonts w:hint="eastAsia" w:ascii="Times New Roman" w:hAnsi="Times New Roman" w:eastAsia="仿宋_GB2312" w:cs="Times New Roman"/>
          <w:color w:val="000000" w:themeColor="text1"/>
          <w:sz w:val="30"/>
          <w:szCs w:val="30"/>
        </w:rPr>
        <w:t>森林</w:t>
      </w:r>
      <w:r>
        <w:rPr>
          <w:rFonts w:ascii="Times New Roman" w:hAnsi="Times New Roman" w:eastAsia="仿宋_GB2312" w:cs="Times New Roman"/>
          <w:color w:val="000000" w:themeColor="text1"/>
          <w:sz w:val="30"/>
          <w:szCs w:val="30"/>
        </w:rPr>
        <w:t>法、</w:t>
      </w:r>
      <w:r>
        <w:rPr>
          <w:rFonts w:hint="eastAsia" w:ascii="Times New Roman" w:hAnsi="Times New Roman" w:eastAsia="仿宋_GB2312" w:cs="Times New Roman"/>
          <w:color w:val="000000" w:themeColor="text1"/>
          <w:sz w:val="30"/>
          <w:szCs w:val="30"/>
        </w:rPr>
        <w:t>草原</w:t>
      </w:r>
      <w:r>
        <w:rPr>
          <w:rFonts w:ascii="Times New Roman" w:hAnsi="Times New Roman" w:eastAsia="仿宋_GB2312" w:cs="Times New Roman"/>
          <w:color w:val="000000" w:themeColor="text1"/>
          <w:sz w:val="30"/>
          <w:szCs w:val="30"/>
        </w:rPr>
        <w:t>法、水土保持法、土地管理法等法律法规，加强沙化土地的开发利用监督管理，加大执法力度，严厉查处各种破坏沙区生态、造成土地沙化的违法犯罪活动。</w:t>
      </w:r>
      <w:r>
        <w:rPr>
          <w:rFonts w:hint="eastAsia" w:ascii="Times New Roman" w:hAnsi="Times New Roman" w:eastAsia="仿宋_GB2312" w:cs="Times New Roman"/>
          <w:color w:val="000000" w:themeColor="text1"/>
          <w:sz w:val="30"/>
          <w:szCs w:val="30"/>
        </w:rPr>
        <w:t>加强沙化土地开发利用监督管理，</w:t>
      </w:r>
      <w:r>
        <w:rPr>
          <w:rFonts w:ascii="Times New Roman" w:hAnsi="Times New Roman" w:eastAsia="仿宋_GB2312" w:cs="Times New Roman"/>
          <w:color w:val="000000" w:themeColor="text1"/>
          <w:sz w:val="30"/>
          <w:szCs w:val="30"/>
        </w:rPr>
        <w:t>保护好沙区植被</w:t>
      </w:r>
      <w:r>
        <w:rPr>
          <w:rFonts w:hint="eastAsia" w:ascii="Times New Roman" w:hAnsi="Times New Roman" w:eastAsia="仿宋_GB2312" w:cs="Times New Roman"/>
          <w:color w:val="000000" w:themeColor="text1"/>
          <w:sz w:val="30"/>
          <w:szCs w:val="30"/>
        </w:rPr>
        <w:t>。</w:t>
      </w:r>
    </w:p>
    <w:p>
      <w:pPr>
        <w:pStyle w:val="5"/>
        <w:numPr>
          <w:ilvl w:val="0"/>
          <w:numId w:val="20"/>
        </w:numPr>
        <w:spacing w:before="156" w:beforeLines="50" w:after="156" w:afterLines="50" w:line="240" w:lineRule="auto"/>
        <w:ind w:left="0" w:firstLine="600" w:firstLineChars="200"/>
        <w:rPr>
          <w:rFonts w:eastAsia="仿宋_GB2312"/>
          <w:b w:val="0"/>
          <w:bCs w:val="0"/>
        </w:rPr>
      </w:pPr>
      <w:bookmarkStart w:id="134" w:name="_Toc130453162"/>
      <w:bookmarkStart w:id="135" w:name="_Toc130845595"/>
      <w:bookmarkStart w:id="136" w:name="_Toc129795617"/>
      <w:bookmarkStart w:id="137" w:name="_Toc130199813"/>
      <w:bookmarkStart w:id="138" w:name="_Toc130837942"/>
      <w:r>
        <w:rPr>
          <w:rFonts w:hint="eastAsia" w:eastAsia="仿宋_GB2312"/>
          <w:b w:val="0"/>
          <w:bCs w:val="0"/>
        </w:rPr>
        <w:t>落实林草保护制度，预防土地沙化</w:t>
      </w:r>
      <w:bookmarkEnd w:id="134"/>
      <w:bookmarkEnd w:id="135"/>
      <w:bookmarkEnd w:id="136"/>
      <w:bookmarkEnd w:id="137"/>
      <w:bookmarkEnd w:id="138"/>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全面落实沙区公益林补偿</w:t>
      </w:r>
      <w:r>
        <w:rPr>
          <w:rFonts w:ascii="Times New Roman" w:hAnsi="Times New Roman" w:eastAsia="仿宋_GB2312" w:cs="Times New Roman"/>
          <w:color w:val="000000" w:themeColor="text1"/>
          <w:sz w:val="30"/>
          <w:szCs w:val="30"/>
        </w:rPr>
        <w:t>制度</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按照《国家级公益林区划界定办法》</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《国家级公益林管理办法》</w:t>
      </w:r>
      <w:r>
        <w:rPr>
          <w:rFonts w:hint="eastAsia" w:ascii="Times New Roman" w:hAnsi="Times New Roman" w:eastAsia="仿宋_GB2312" w:cs="Times New Roman"/>
          <w:color w:val="000000" w:themeColor="text1"/>
          <w:sz w:val="30"/>
          <w:szCs w:val="30"/>
        </w:rPr>
        <w:t>、《广东省森林保护管理条例》、《广东省省级生态公益林效益补偿资金管理办法》</w:t>
      </w:r>
      <w:r>
        <w:rPr>
          <w:rFonts w:ascii="Times New Roman" w:hAnsi="Times New Roman" w:eastAsia="仿宋_GB2312" w:cs="Times New Roman"/>
          <w:color w:val="000000" w:themeColor="text1"/>
          <w:sz w:val="30"/>
          <w:szCs w:val="30"/>
        </w:rPr>
        <w:t>的相关要求，将风沙危害严重地区符合条件的防风固沙林、水土保持林等纳入</w:t>
      </w:r>
      <w:r>
        <w:rPr>
          <w:rFonts w:hint="eastAsia" w:ascii="Times New Roman" w:hAnsi="Times New Roman" w:eastAsia="仿宋_GB2312" w:cs="Times New Roman"/>
          <w:color w:val="000000" w:themeColor="text1"/>
          <w:sz w:val="30"/>
          <w:szCs w:val="30"/>
        </w:rPr>
        <w:t>省级以上公益林</w:t>
      </w:r>
      <w:r>
        <w:rPr>
          <w:rFonts w:ascii="Times New Roman" w:hAnsi="Times New Roman" w:eastAsia="仿宋_GB2312" w:cs="Times New Roman"/>
          <w:color w:val="000000" w:themeColor="text1"/>
          <w:sz w:val="30"/>
          <w:szCs w:val="30"/>
        </w:rPr>
        <w:t>，实施森林生态效益补偿</w:t>
      </w:r>
      <w:r>
        <w:rPr>
          <w:rFonts w:hint="eastAsia" w:ascii="Times New Roman" w:hAnsi="Times New Roman" w:eastAsia="仿宋_GB2312" w:cs="Times New Roman"/>
          <w:color w:val="000000" w:themeColor="text1"/>
          <w:sz w:val="30"/>
          <w:szCs w:val="30"/>
        </w:rPr>
        <w:t>。</w:t>
      </w:r>
    </w:p>
    <w:p>
      <w:pPr>
        <w:pStyle w:val="5"/>
        <w:numPr>
          <w:ilvl w:val="0"/>
          <w:numId w:val="20"/>
        </w:numPr>
        <w:spacing w:before="156" w:beforeLines="50" w:after="156" w:afterLines="50" w:line="240" w:lineRule="auto"/>
        <w:ind w:left="0" w:firstLine="600" w:firstLineChars="200"/>
        <w:rPr>
          <w:rFonts w:eastAsia="仿宋_GB2312"/>
          <w:b w:val="0"/>
          <w:bCs w:val="0"/>
        </w:rPr>
      </w:pPr>
      <w:bookmarkStart w:id="139" w:name="_Toc130845596"/>
      <w:bookmarkStart w:id="140" w:name="_Toc130837943"/>
      <w:r>
        <w:rPr>
          <w:rFonts w:hint="eastAsia" w:eastAsia="仿宋_GB2312"/>
          <w:b w:val="0"/>
          <w:bCs w:val="0"/>
        </w:rPr>
        <w:t>分类保护沙化土地</w:t>
      </w:r>
      <w:bookmarkEnd w:id="139"/>
      <w:bookmarkEnd w:id="140"/>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对风沙危害严重、修复措施难以实施的流动沙地和沙化严重、暂不具备治理条件的半固定沙地，加强对应的管护管理，设置植物沙障</w:t>
      </w:r>
      <w:r>
        <w:rPr>
          <w:rStyle w:val="33"/>
          <w:rFonts w:ascii="Times New Roman" w:hAnsi="Times New Roman" w:eastAsia="仿宋_GB2312" w:cs="Times New Roman"/>
          <w:color w:val="000000" w:themeColor="text1"/>
          <w:sz w:val="30"/>
          <w:szCs w:val="30"/>
        </w:rPr>
        <w:footnoteReference w:id="3"/>
      </w:r>
      <w:r>
        <w:rPr>
          <w:rFonts w:hint="eastAsia" w:ascii="Times New Roman" w:hAnsi="Times New Roman" w:eastAsia="仿宋_GB2312" w:cs="Times New Roman"/>
          <w:color w:val="000000" w:themeColor="text1"/>
          <w:sz w:val="30"/>
          <w:szCs w:val="30"/>
        </w:rPr>
        <w:t>，拦截、阻滞风沙运动，为实施植物治沙措施提供保护，促进植被的自然恢复。</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对于固定沙地中的有林地尤其是沿海沙岸防护林带，应加强沿海防护林建设重要性宣传，对恶意、非法破坏固定沙地植被的行为给予严厉制裁；严格控制建设项目占用海岸线</w:t>
      </w:r>
      <w:r>
        <w:rPr>
          <w:rFonts w:ascii="Times New Roman" w:hAnsi="Times New Roman" w:eastAsia="仿宋_GB2312" w:cs="Times New Roman"/>
          <w:color w:val="000000" w:themeColor="text1"/>
          <w:sz w:val="30"/>
          <w:szCs w:val="30"/>
        </w:rPr>
        <w:t>200m范围内的固定沙地</w:t>
      </w:r>
      <w:r>
        <w:rPr>
          <w:rFonts w:hint="eastAsia" w:ascii="Times New Roman" w:hAnsi="Times New Roman" w:eastAsia="仿宋_GB2312" w:cs="Times New Roman"/>
          <w:color w:val="000000" w:themeColor="text1"/>
          <w:sz w:val="30"/>
          <w:szCs w:val="30"/>
        </w:rPr>
        <w:t>；设置固定宣传标志，宣传保护和合理利用固定沙地。</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依法严格保护沙化耕地，采用良好的耕作工艺，保持沙化耕地地力，确保沙化耕地不发生退化。设置固定宣传标志，宣传保护和合理利用沙化耕地。</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坚持科学用水</w:t>
      </w:r>
      <w:r>
        <w:rPr>
          <w:rFonts w:ascii="Times New Roman" w:hAnsi="Times New Roman" w:eastAsia="仿宋_GB2312" w:cs="Times New Roman"/>
          <w:color w:val="000000" w:themeColor="text1"/>
          <w:sz w:val="30"/>
          <w:szCs w:val="30"/>
        </w:rPr>
        <w:t>，在缺水地区</w:t>
      </w:r>
      <w:r>
        <w:rPr>
          <w:rFonts w:hint="eastAsia" w:ascii="Times New Roman" w:hAnsi="Times New Roman" w:eastAsia="仿宋_GB2312" w:cs="Times New Roman"/>
          <w:color w:val="000000" w:themeColor="text1"/>
          <w:sz w:val="30"/>
          <w:szCs w:val="30"/>
        </w:rPr>
        <w:t>尤其是雷州半岛，加强非常规水利用，统筹利用好再生水、雨水、微咸水等。</w:t>
      </w:r>
    </w:p>
    <w:p>
      <w:pPr>
        <w:spacing w:line="560" w:lineRule="exact"/>
        <w:ind w:firstLine="600" w:firstLineChars="200"/>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141" w:name="_Toc130845597"/>
      <w:r>
        <w:rPr>
          <w:rFonts w:hint="eastAsia" w:ascii="Times New Roman" w:hAnsi="Times New Roman" w:eastAsia="黑体" w:cs="Times New Roman"/>
          <w:b w:val="0"/>
          <w:bCs w:val="0"/>
          <w:sz w:val="36"/>
          <w:szCs w:val="36"/>
        </w:rPr>
        <w:t>沿海沙化土地综合治理</w:t>
      </w:r>
      <w:bookmarkEnd w:id="141"/>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在科学研究沿海沙区修复治理技术的基础上，统筹山水林田湖草沙综合治理、系统治理、源头治理，依靠科技，林草、农业、水利等多种防治措施并举，高质量开展生态修复。</w:t>
      </w:r>
    </w:p>
    <w:p>
      <w:pPr>
        <w:pStyle w:val="3"/>
        <w:numPr>
          <w:ilvl w:val="0"/>
          <w:numId w:val="21"/>
        </w:numPr>
        <w:spacing w:before="156" w:beforeLines="50" w:after="156" w:afterLines="50" w:line="276" w:lineRule="auto"/>
        <w:ind w:left="0" w:firstLine="640" w:firstLineChars="200"/>
        <w:rPr>
          <w:rFonts w:eastAsia="楷体"/>
          <w:b w:val="0"/>
          <w:bCs w:val="0"/>
          <w:sz w:val="32"/>
          <w:szCs w:val="32"/>
        </w:rPr>
      </w:pPr>
      <w:bookmarkStart w:id="142" w:name="_Toc130845598"/>
      <w:r>
        <w:rPr>
          <w:rFonts w:hint="eastAsia" w:eastAsia="楷体"/>
          <w:b w:val="0"/>
          <w:bCs w:val="0"/>
          <w:sz w:val="32"/>
          <w:szCs w:val="32"/>
        </w:rPr>
        <w:t>区域规划治理沙化土地任务</w:t>
      </w:r>
      <w:bookmarkEnd w:id="142"/>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到2</w:t>
      </w:r>
      <w:r>
        <w:rPr>
          <w:rFonts w:ascii="Times New Roman" w:hAnsi="Times New Roman" w:eastAsia="仿宋_GB2312" w:cs="Times New Roman"/>
          <w:color w:val="000000" w:themeColor="text1"/>
          <w:sz w:val="30"/>
          <w:szCs w:val="30"/>
        </w:rPr>
        <w:t>025</w:t>
      </w:r>
      <w:r>
        <w:rPr>
          <w:rFonts w:hint="eastAsia" w:ascii="Times New Roman" w:hAnsi="Times New Roman" w:eastAsia="仿宋_GB2312" w:cs="Times New Roman"/>
          <w:color w:val="000000" w:themeColor="text1"/>
          <w:sz w:val="30"/>
          <w:szCs w:val="30"/>
        </w:rPr>
        <w:t>年，全省规划完成沙化土地治理任务2</w:t>
      </w:r>
      <w:r>
        <w:rPr>
          <w:rFonts w:ascii="Times New Roman" w:hAnsi="Times New Roman" w:eastAsia="仿宋_GB2312" w:cs="Times New Roman"/>
          <w:color w:val="000000" w:themeColor="text1"/>
          <w:sz w:val="30"/>
          <w:szCs w:val="30"/>
        </w:rPr>
        <w:t>476.6667</w:t>
      </w:r>
      <w:r>
        <w:rPr>
          <w:rFonts w:hint="eastAsia" w:ascii="Times New Roman" w:hAnsi="Times New Roman" w:eastAsia="仿宋_GB2312" w:cs="Times New Roman"/>
          <w:color w:val="000000" w:themeColor="text1"/>
          <w:sz w:val="30"/>
          <w:szCs w:val="30"/>
        </w:rPr>
        <w:t>公顷（</w:t>
      </w:r>
      <w:r>
        <w:rPr>
          <w:rFonts w:ascii="Times New Roman" w:hAnsi="Times New Roman" w:eastAsia="仿宋_GB2312" w:cs="Times New Roman"/>
          <w:color w:val="000000" w:themeColor="text1"/>
          <w:sz w:val="30"/>
          <w:szCs w:val="30"/>
        </w:rPr>
        <w:t>37150</w:t>
      </w:r>
      <w:r>
        <w:rPr>
          <w:rFonts w:hint="eastAsia" w:ascii="Times New Roman" w:hAnsi="Times New Roman" w:eastAsia="仿宋_GB2312" w:cs="Times New Roman"/>
          <w:color w:val="000000" w:themeColor="text1"/>
          <w:sz w:val="30"/>
          <w:szCs w:val="30"/>
        </w:rPr>
        <w:t>亩）。本期规划无沙化耕地治理任务</w:t>
      </w:r>
      <w:r>
        <w:rPr>
          <w:rStyle w:val="33"/>
          <w:rFonts w:ascii="Times New Roman" w:hAnsi="Times New Roman" w:eastAsia="仿宋_GB2312" w:cs="Times New Roman"/>
          <w:color w:val="000000" w:themeColor="text1"/>
          <w:sz w:val="30"/>
          <w:szCs w:val="30"/>
        </w:rPr>
        <w:footnoteReference w:id="4"/>
      </w:r>
      <w:r>
        <w:rPr>
          <w:rFonts w:hint="eastAsia" w:ascii="Times New Roman" w:hAnsi="Times New Roman" w:eastAsia="仿宋_GB2312" w:cs="Times New Roman"/>
          <w:color w:val="000000" w:themeColor="text1"/>
          <w:sz w:val="30"/>
          <w:szCs w:val="30"/>
        </w:rPr>
        <w:t>。</w:t>
      </w:r>
    </w:p>
    <w:p>
      <w:pPr>
        <w:pStyle w:val="5"/>
        <w:numPr>
          <w:ilvl w:val="0"/>
          <w:numId w:val="22"/>
        </w:numPr>
        <w:spacing w:before="156" w:beforeLines="50" w:after="156" w:afterLines="50" w:line="240" w:lineRule="auto"/>
        <w:ind w:left="0" w:firstLine="600" w:firstLineChars="200"/>
        <w:rPr>
          <w:rFonts w:eastAsia="仿宋_GB2312"/>
          <w:b w:val="0"/>
          <w:bCs w:val="0"/>
        </w:rPr>
      </w:pPr>
      <w:bookmarkStart w:id="143" w:name="_Toc130199805"/>
      <w:bookmarkStart w:id="144" w:name="_Toc130837946"/>
      <w:bookmarkStart w:id="145" w:name="_Toc130453177"/>
      <w:bookmarkStart w:id="146" w:name="_Toc129795603"/>
      <w:bookmarkStart w:id="147" w:name="_Toc130845599"/>
      <w:r>
        <w:rPr>
          <w:rFonts w:hint="eastAsia" w:eastAsia="仿宋_GB2312"/>
          <w:b w:val="0"/>
          <w:bCs w:val="0"/>
        </w:rPr>
        <w:t>人工造林</w:t>
      </w:r>
      <w:bookmarkEnd w:id="143"/>
      <w:bookmarkEnd w:id="144"/>
      <w:bookmarkEnd w:id="145"/>
      <w:bookmarkEnd w:id="146"/>
      <w:bookmarkEnd w:id="14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对沙化土地中的草地、林地中的半固定沙地，需要采取人工造林措施增加植被覆盖，以防止和减少沙土的流失。</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根据对各工程治理县区进行工程量摸底调查，全省沙化土地中宜林地（林地和草地）面积为</w:t>
      </w:r>
      <w:r>
        <w:rPr>
          <w:rFonts w:ascii="Times New Roman" w:hAnsi="Times New Roman" w:eastAsia="仿宋_GB2312" w:cs="Times New Roman"/>
          <w:color w:val="000000" w:themeColor="text1"/>
          <w:sz w:val="30"/>
          <w:szCs w:val="30"/>
        </w:rPr>
        <w:t>183.1824公顷，林地半固定沙地4.5776公顷，对于这些宜林地采取人工造林措施进行治理，规划工程人工造林面积187.7600公顷。</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沙化土地人工造林任务计划在</w:t>
      </w:r>
      <w:r>
        <w:rPr>
          <w:rFonts w:ascii="Times New Roman" w:hAnsi="Times New Roman" w:eastAsia="仿宋_GB2312" w:cs="Times New Roman"/>
          <w:color w:val="000000" w:themeColor="text1"/>
          <w:sz w:val="30"/>
          <w:szCs w:val="30"/>
        </w:rPr>
        <w:t>2025年前完成。按照先急后缓的原则，对各建设单位建设任务进行年度安排。</w:t>
      </w:r>
    </w:p>
    <w:p>
      <w:pPr>
        <w:pStyle w:val="7"/>
        <w:keepNext/>
        <w:spacing w:before="156" w:before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表5-</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表4-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1</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广东省防沙治沙规划人工造林任务按年度规划表</w:t>
      </w:r>
    </w:p>
    <w:p>
      <w:pPr>
        <w:jc w:val="right"/>
        <w:rPr>
          <w:rFonts w:ascii="仿宋_GB2312" w:eastAsia="仿宋_GB2312"/>
        </w:rPr>
      </w:pPr>
      <w:r>
        <w:rPr>
          <w:rFonts w:hint="eastAsia" w:ascii="仿宋_GB2312" w:eastAsia="仿宋_GB2312"/>
        </w:rPr>
        <w:t>单位：公顷</w:t>
      </w:r>
    </w:p>
    <w:tbl>
      <w:tblPr>
        <w:tblStyle w:val="26"/>
        <w:tblW w:w="8522" w:type="dxa"/>
        <w:jc w:val="center"/>
        <w:tblLayout w:type="fixed"/>
        <w:tblCellMar>
          <w:top w:w="0" w:type="dxa"/>
          <w:left w:w="108" w:type="dxa"/>
          <w:bottom w:w="0" w:type="dxa"/>
          <w:right w:w="108" w:type="dxa"/>
        </w:tblCellMar>
      </w:tblPr>
      <w:tblGrid>
        <w:gridCol w:w="1204"/>
        <w:gridCol w:w="1304"/>
        <w:gridCol w:w="1203"/>
        <w:gridCol w:w="1203"/>
        <w:gridCol w:w="1203"/>
        <w:gridCol w:w="1203"/>
        <w:gridCol w:w="1202"/>
      </w:tblGrid>
      <w:tr>
        <w:tblPrEx>
          <w:tblCellMar>
            <w:top w:w="0" w:type="dxa"/>
            <w:left w:w="108" w:type="dxa"/>
            <w:bottom w:w="0" w:type="dxa"/>
            <w:right w:w="108" w:type="dxa"/>
          </w:tblCellMar>
        </w:tblPrEx>
        <w:trPr>
          <w:trHeight w:val="716" w:hRule="atLeast"/>
          <w:tblHeader/>
          <w:jc w:val="center"/>
        </w:trPr>
        <w:tc>
          <w:tcPr>
            <w:tcW w:w="12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3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2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2021年</w:t>
            </w:r>
          </w:p>
        </w:tc>
        <w:tc>
          <w:tcPr>
            <w:tcW w:w="12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2022年</w:t>
            </w:r>
          </w:p>
        </w:tc>
        <w:tc>
          <w:tcPr>
            <w:tcW w:w="12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2023年</w:t>
            </w:r>
          </w:p>
        </w:tc>
        <w:tc>
          <w:tcPr>
            <w:tcW w:w="12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2024年</w:t>
            </w:r>
          </w:p>
        </w:tc>
        <w:tc>
          <w:tcPr>
            <w:tcW w:w="12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2025年</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30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sz w:val="22"/>
              </w:rPr>
              <w:t xml:space="preserve">187.7600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62.6360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62.5620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62.5620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23.3333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7.7943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7.7695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7.7695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7.2000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2.4164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2.3918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2.3918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304"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157.2267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52.4253 </w:t>
            </w:r>
          </w:p>
        </w:tc>
        <w:tc>
          <w:tcPr>
            <w:tcW w:w="120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52.4007 </w:t>
            </w:r>
          </w:p>
        </w:tc>
        <w:tc>
          <w:tcPr>
            <w:tcW w:w="120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52.4007 </w:t>
            </w:r>
          </w:p>
        </w:tc>
      </w:tr>
    </w:tbl>
    <w:p>
      <w:pPr>
        <w:pStyle w:val="5"/>
        <w:numPr>
          <w:ilvl w:val="0"/>
          <w:numId w:val="22"/>
        </w:numPr>
        <w:spacing w:before="156" w:beforeLines="50" w:after="156" w:afterLines="50" w:line="240" w:lineRule="auto"/>
        <w:ind w:left="0" w:firstLine="600" w:firstLineChars="200"/>
        <w:rPr>
          <w:rFonts w:eastAsia="仿宋_GB2312"/>
          <w:b w:val="0"/>
          <w:bCs w:val="0"/>
        </w:rPr>
      </w:pPr>
      <w:r>
        <w:rPr>
          <w:rFonts w:hint="eastAsia" w:eastAsia="仿宋_GB2312"/>
          <w:b w:val="0"/>
          <w:bCs w:val="0"/>
        </w:rPr>
        <w:t>补植套种</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对于沙化土地中的疏残林地，采取补植套种措施，提高森林质量，提升森林服务功能水平。具体是针对林地中部分植被郁闭度较低的固定沙地。</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根据对各工程治理县区进行工程量摸底调查，固定沙地中植被郁闭度较低的森林面积有</w:t>
      </w:r>
      <w:r>
        <w:rPr>
          <w:rFonts w:ascii="Times New Roman" w:hAnsi="Times New Roman" w:eastAsia="仿宋_GB2312" w:cs="Times New Roman"/>
          <w:color w:val="000000" w:themeColor="text1"/>
          <w:sz w:val="30"/>
          <w:szCs w:val="30"/>
        </w:rPr>
        <w:t>971.7732公顷，确定工程补植套种971.7732公顷。</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沙化土地补植套种规划在</w:t>
      </w:r>
      <w:r>
        <w:rPr>
          <w:rFonts w:ascii="Times New Roman" w:hAnsi="Times New Roman" w:eastAsia="仿宋_GB2312" w:cs="Times New Roman"/>
          <w:color w:val="000000" w:themeColor="text1"/>
          <w:sz w:val="30"/>
          <w:szCs w:val="30"/>
        </w:rPr>
        <w:t>2025年前完成，按照先急后缓、先易后难的原则，安排规划任务。</w:t>
      </w:r>
    </w:p>
    <w:p>
      <w:pPr>
        <w:pStyle w:val="7"/>
        <w:keepNext/>
        <w:spacing w:before="156" w:before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表5-</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表4-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2</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广东省防沙治沙规划补植套种任务按年度规划表</w:t>
      </w:r>
    </w:p>
    <w:p>
      <w:pPr>
        <w:jc w:val="right"/>
        <w:rPr>
          <w:rFonts w:ascii="Times New Roman" w:hAnsi="Times New Roman" w:eastAsia="仿宋_GB2312" w:cs="Times New Roman"/>
        </w:rPr>
      </w:pPr>
      <w:r>
        <w:rPr>
          <w:rFonts w:ascii="Times New Roman" w:hAnsi="Times New Roman" w:eastAsia="仿宋_GB2312" w:cs="Times New Roman"/>
        </w:rPr>
        <w:t>单位：公顷</w:t>
      </w:r>
    </w:p>
    <w:tbl>
      <w:tblPr>
        <w:tblStyle w:val="26"/>
        <w:tblW w:w="8522" w:type="dxa"/>
        <w:tblInd w:w="0" w:type="dxa"/>
        <w:tblLayout w:type="fixed"/>
        <w:tblCellMar>
          <w:top w:w="0" w:type="dxa"/>
          <w:left w:w="108" w:type="dxa"/>
          <w:bottom w:w="0" w:type="dxa"/>
          <w:right w:w="108" w:type="dxa"/>
        </w:tblCellMar>
      </w:tblPr>
      <w:tblGrid>
        <w:gridCol w:w="1155"/>
        <w:gridCol w:w="1253"/>
        <w:gridCol w:w="1253"/>
        <w:gridCol w:w="1253"/>
        <w:gridCol w:w="1253"/>
        <w:gridCol w:w="1179"/>
        <w:gridCol w:w="1176"/>
      </w:tblGrid>
      <w:tr>
        <w:tblPrEx>
          <w:tblCellMar>
            <w:top w:w="0" w:type="dxa"/>
            <w:left w:w="108" w:type="dxa"/>
            <w:bottom w:w="0" w:type="dxa"/>
            <w:right w:w="108" w:type="dxa"/>
          </w:tblCellMar>
        </w:tblPrEx>
        <w:trPr>
          <w:trHeight w:val="724" w:hRule="atLeast"/>
          <w:tblHeader/>
        </w:trPr>
        <w:tc>
          <w:tcPr>
            <w:tcW w:w="1155" w:type="dxa"/>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2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2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2021年</w:t>
            </w:r>
          </w:p>
        </w:tc>
        <w:tc>
          <w:tcPr>
            <w:tcW w:w="12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2022年</w:t>
            </w:r>
          </w:p>
        </w:tc>
        <w:tc>
          <w:tcPr>
            <w:tcW w:w="12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2023年</w:t>
            </w:r>
          </w:p>
        </w:tc>
        <w:tc>
          <w:tcPr>
            <w:tcW w:w="11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2024年</w:t>
            </w:r>
          </w:p>
        </w:tc>
        <w:tc>
          <w:tcPr>
            <w:tcW w:w="11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2025年</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nil"/>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253"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sz w:val="22"/>
              </w:rPr>
              <w:t xml:space="preserve">971.7732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323.9744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323.8994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323.8994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200.0000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66.6750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66.6625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66.6625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183.7999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61.2831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61.2584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61.2584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25.3333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8.4486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8.4424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8.4424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10.0000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3.3375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3.3313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3.3313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426.1333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142.0570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142.0382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142.0382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20.0000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6.6709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6.6646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6.6646 </w:t>
            </w:r>
          </w:p>
        </w:tc>
      </w:tr>
      <w:tr>
        <w:tblPrEx>
          <w:tblCellMar>
            <w:top w:w="0" w:type="dxa"/>
            <w:left w:w="108" w:type="dxa"/>
            <w:bottom w:w="0" w:type="dxa"/>
            <w:right w:w="108" w:type="dxa"/>
          </w:tblCellMar>
        </w:tblPrEx>
        <w:trPr>
          <w:trHeight w:val="288" w:hRule="atLeast"/>
        </w:trPr>
        <w:tc>
          <w:tcPr>
            <w:tcW w:w="115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106.5067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53"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35.5023 </w:t>
            </w:r>
          </w:p>
        </w:tc>
        <w:tc>
          <w:tcPr>
            <w:tcW w:w="117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35.5022 </w:t>
            </w:r>
          </w:p>
        </w:tc>
        <w:tc>
          <w:tcPr>
            <w:tcW w:w="1176"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35.5022 </w:t>
            </w:r>
          </w:p>
        </w:tc>
      </w:tr>
    </w:tbl>
    <w:p>
      <w:pPr>
        <w:pStyle w:val="5"/>
        <w:numPr>
          <w:ilvl w:val="0"/>
          <w:numId w:val="22"/>
        </w:numPr>
        <w:spacing w:before="156" w:beforeLines="50" w:after="156" w:afterLines="50" w:line="240" w:lineRule="auto"/>
        <w:ind w:left="0" w:firstLine="600" w:firstLineChars="200"/>
        <w:rPr>
          <w:rFonts w:eastAsia="仿宋_GB2312"/>
          <w:b w:val="0"/>
          <w:bCs w:val="0"/>
        </w:rPr>
      </w:pPr>
      <w:r>
        <w:rPr>
          <w:rFonts w:hint="eastAsia" w:eastAsia="仿宋_GB2312"/>
          <w:b w:val="0"/>
          <w:bCs w:val="0"/>
        </w:rPr>
        <w:t>更新改造</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对沙化土地中遭受台风破坏的低效林，采取更新改造措施进行修复。</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根据对各工程治理单位进行工程量摸底调查，沿海沙岸防护林中需要进行更新改造的低效林面积为</w:t>
      </w:r>
      <w:r>
        <w:rPr>
          <w:rFonts w:ascii="Times New Roman" w:hAnsi="Times New Roman" w:eastAsia="仿宋_GB2312" w:cs="Times New Roman"/>
          <w:color w:val="000000" w:themeColor="text1"/>
          <w:sz w:val="30"/>
          <w:szCs w:val="30"/>
        </w:rPr>
        <w:t>81.5333公顷。考虑到台风的不确定性，不考虑今后可能遭受台风破坏的面积（一般是局部的破坏，可考虑其它途径进行恢复）。确定工程规划更新改造面积81.5333公顷。</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沙化土地更新改造规划在</w:t>
      </w:r>
      <w:r>
        <w:rPr>
          <w:rFonts w:ascii="Times New Roman" w:hAnsi="Times New Roman" w:eastAsia="仿宋_GB2312" w:cs="Times New Roman"/>
          <w:color w:val="000000" w:themeColor="text1"/>
          <w:sz w:val="30"/>
          <w:szCs w:val="30"/>
        </w:rPr>
        <w:t>2025年前完成，按照先急后缓、先易后难的原则，安排规划任务。</w:t>
      </w:r>
    </w:p>
    <w:p>
      <w:pPr>
        <w:pStyle w:val="7"/>
        <w:keepNext/>
        <w:spacing w:before="156" w:before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表5-</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表4-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3</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广东省防沙治沙规划</w:t>
      </w:r>
      <w:r>
        <w:rPr>
          <w:rFonts w:hint="eastAsia" w:ascii="Times New Roman" w:hAnsi="Times New Roman" w:eastAsia="方正小标宋简体" w:cs="Times New Roman"/>
          <w:sz w:val="28"/>
          <w:szCs w:val="28"/>
        </w:rPr>
        <w:t>更新改造</w:t>
      </w:r>
      <w:r>
        <w:rPr>
          <w:rFonts w:ascii="Times New Roman" w:hAnsi="Times New Roman" w:eastAsia="方正小标宋简体" w:cs="Times New Roman"/>
          <w:sz w:val="28"/>
          <w:szCs w:val="28"/>
        </w:rPr>
        <w:t>任务按年度规划表</w:t>
      </w:r>
    </w:p>
    <w:p>
      <w:pPr>
        <w:jc w:val="right"/>
        <w:rPr>
          <w:rFonts w:ascii="仿宋_GB2312" w:eastAsia="仿宋_GB2312"/>
        </w:rPr>
      </w:pPr>
      <w:r>
        <w:rPr>
          <w:rFonts w:hint="eastAsia" w:ascii="仿宋_GB2312" w:eastAsia="仿宋_GB2312"/>
        </w:rPr>
        <w:t>单位：公顷</w:t>
      </w:r>
    </w:p>
    <w:tbl>
      <w:tblPr>
        <w:tblStyle w:val="26"/>
        <w:tblW w:w="8522" w:type="dxa"/>
        <w:tblInd w:w="0" w:type="dxa"/>
        <w:tblLayout w:type="fixed"/>
        <w:tblCellMar>
          <w:top w:w="0" w:type="dxa"/>
          <w:left w:w="108" w:type="dxa"/>
          <w:bottom w:w="0" w:type="dxa"/>
          <w:right w:w="108" w:type="dxa"/>
        </w:tblCellMar>
      </w:tblPr>
      <w:tblGrid>
        <w:gridCol w:w="1218"/>
        <w:gridCol w:w="1219"/>
        <w:gridCol w:w="1219"/>
        <w:gridCol w:w="1217"/>
        <w:gridCol w:w="1217"/>
        <w:gridCol w:w="1217"/>
        <w:gridCol w:w="1215"/>
      </w:tblGrid>
      <w:tr>
        <w:tblPrEx>
          <w:tblCellMar>
            <w:top w:w="0" w:type="dxa"/>
            <w:left w:w="108" w:type="dxa"/>
            <w:bottom w:w="0" w:type="dxa"/>
            <w:right w:w="108" w:type="dxa"/>
          </w:tblCellMar>
        </w:tblPrEx>
        <w:trPr>
          <w:trHeight w:val="463" w:hRule="atLeast"/>
          <w:tblHeader/>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2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2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2021</w:t>
            </w:r>
            <w:r>
              <w:rPr>
                <w:rFonts w:hint="eastAsia" w:ascii="仿宋_GB2312" w:hAnsi="Times New Roman" w:eastAsia="仿宋_GB2312" w:cs="Times New Roman"/>
                <w:b/>
                <w:bCs/>
                <w:color w:val="000000"/>
                <w:kern w:val="0"/>
                <w:sz w:val="22"/>
              </w:rPr>
              <w:t>年</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w:t>
            </w:r>
            <w:r>
              <w:rPr>
                <w:rFonts w:hint="eastAsia" w:ascii="仿宋_GB2312" w:hAnsi="Times New Roman" w:eastAsia="仿宋_GB2312" w:cs="Times New Roman"/>
                <w:b/>
                <w:bCs/>
                <w:color w:val="000000"/>
                <w:kern w:val="0"/>
                <w:sz w:val="22"/>
              </w:rPr>
              <w:t>年</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2023</w:t>
            </w:r>
            <w:r>
              <w:rPr>
                <w:rFonts w:hint="eastAsia" w:ascii="仿宋_GB2312" w:hAnsi="Times New Roman" w:eastAsia="仿宋_GB2312" w:cs="Times New Roman"/>
                <w:b/>
                <w:bCs/>
                <w:color w:val="000000"/>
                <w:kern w:val="0"/>
                <w:sz w:val="22"/>
              </w:rPr>
              <w:t>年</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2024</w:t>
            </w:r>
            <w:r>
              <w:rPr>
                <w:rFonts w:hint="eastAsia" w:ascii="仿宋_GB2312" w:hAnsi="Times New Roman" w:eastAsia="仿宋_GB2312" w:cs="Times New Roman"/>
                <w:b/>
                <w:bCs/>
                <w:color w:val="000000"/>
                <w:kern w:val="0"/>
                <w:sz w:val="22"/>
              </w:rPr>
              <w:t>年</w:t>
            </w:r>
          </w:p>
        </w:tc>
        <w:tc>
          <w:tcPr>
            <w:tcW w:w="12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21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sz w:val="22"/>
              </w:rPr>
              <w:t xml:space="preserve">81.5333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27.2271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27.1531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27.1531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74.8666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24.9884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24.9391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24.9391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6.6667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2.2387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2.2140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2.2140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bl>
    <w:p>
      <w:pPr>
        <w:pStyle w:val="5"/>
        <w:numPr>
          <w:ilvl w:val="0"/>
          <w:numId w:val="22"/>
        </w:numPr>
        <w:spacing w:before="156" w:beforeLines="50" w:after="156" w:afterLines="50" w:line="240" w:lineRule="auto"/>
        <w:ind w:left="0" w:firstLine="600" w:firstLineChars="200"/>
        <w:rPr>
          <w:rFonts w:eastAsia="仿宋_GB2312"/>
          <w:b w:val="0"/>
          <w:bCs w:val="0"/>
        </w:rPr>
      </w:pPr>
      <w:bookmarkStart w:id="148" w:name="_Toc130453179"/>
      <w:bookmarkStart w:id="149" w:name="_Toc130837948"/>
      <w:bookmarkStart w:id="150" w:name="_Toc130845601"/>
      <w:bookmarkStart w:id="151" w:name="_Toc130199807"/>
      <w:r>
        <w:rPr>
          <w:rFonts w:hint="eastAsia" w:eastAsia="仿宋_GB2312"/>
          <w:b w:val="0"/>
          <w:bCs w:val="0"/>
        </w:rPr>
        <w:t>封山（沙）育林（草）</w:t>
      </w:r>
      <w:bookmarkEnd w:id="148"/>
      <w:bookmarkEnd w:id="149"/>
      <w:bookmarkEnd w:id="150"/>
      <w:bookmarkEnd w:id="151"/>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对具备植物繁衍、生长发育条件的沙化土地</w:t>
      </w:r>
      <w:r>
        <w:rPr>
          <w:rFonts w:ascii="Times New Roman" w:hAnsi="Times New Roman" w:eastAsia="仿宋_GB2312" w:cs="Times New Roman"/>
          <w:color w:val="000000" w:themeColor="text1"/>
          <w:sz w:val="30"/>
          <w:szCs w:val="30"/>
        </w:rPr>
        <w:t>，通过采取围栏封育、人工促进等手段，提高沙区林草植被盖度，恢复生态。</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根据对各工程治理县区进行工程量摸底调查，</w:t>
      </w:r>
      <w:r>
        <w:rPr>
          <w:rFonts w:ascii="Times New Roman" w:hAnsi="Times New Roman" w:eastAsia="仿宋_GB2312" w:cs="Times New Roman"/>
          <w:color w:val="000000" w:themeColor="text1"/>
          <w:sz w:val="30"/>
          <w:szCs w:val="30"/>
        </w:rPr>
        <w:t>确定工程规划</w:t>
      </w:r>
      <w:r>
        <w:rPr>
          <w:rFonts w:hint="eastAsia" w:ascii="Times New Roman" w:hAnsi="Times New Roman" w:eastAsia="仿宋_GB2312" w:cs="Times New Roman"/>
          <w:color w:val="000000" w:themeColor="text1"/>
          <w:sz w:val="30"/>
          <w:szCs w:val="30"/>
        </w:rPr>
        <w:t>封山（沙）育林（草）</w:t>
      </w:r>
      <w:r>
        <w:rPr>
          <w:rFonts w:ascii="Times New Roman" w:hAnsi="Times New Roman" w:eastAsia="仿宋_GB2312" w:cs="Times New Roman"/>
          <w:color w:val="000000" w:themeColor="text1"/>
          <w:sz w:val="30"/>
          <w:szCs w:val="30"/>
        </w:rPr>
        <w:t>面积</w:t>
      </w:r>
      <w:r>
        <w:rPr>
          <w:rFonts w:hint="eastAsia" w:ascii="Times New Roman" w:hAnsi="Times New Roman" w:eastAsia="仿宋_GB2312" w:cs="Times New Roman"/>
          <w:color w:val="000000" w:themeColor="text1"/>
          <w:sz w:val="30"/>
          <w:szCs w:val="30"/>
        </w:rPr>
        <w:t>4</w:t>
      </w:r>
      <w:r>
        <w:rPr>
          <w:rFonts w:ascii="Times New Roman" w:hAnsi="Times New Roman" w:eastAsia="仿宋_GB2312" w:cs="Times New Roman"/>
          <w:color w:val="000000" w:themeColor="text1"/>
          <w:sz w:val="30"/>
          <w:szCs w:val="30"/>
        </w:rPr>
        <w:t>3.3334公顷</w:t>
      </w:r>
      <w:r>
        <w:rPr>
          <w:rFonts w:hint="eastAsia" w:ascii="Times New Roman" w:hAnsi="Times New Roman" w:eastAsia="仿宋_GB2312" w:cs="Times New Roman"/>
          <w:color w:val="000000" w:themeColor="text1"/>
          <w:sz w:val="30"/>
          <w:szCs w:val="30"/>
        </w:rPr>
        <w:t>。</w:t>
      </w:r>
    </w:p>
    <w:p>
      <w:pPr>
        <w:pStyle w:val="7"/>
        <w:keepNext/>
        <w:spacing w:before="156" w:before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表5-</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表4-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4</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广东省防沙治沙规划封山</w:t>
      </w:r>
      <w:r>
        <w:rPr>
          <w:rFonts w:hint="eastAsia" w:ascii="Times New Roman" w:hAnsi="Times New Roman" w:eastAsia="方正小标宋简体" w:cs="Times New Roman"/>
          <w:sz w:val="28"/>
          <w:szCs w:val="28"/>
        </w:rPr>
        <w:t>（沙）</w:t>
      </w:r>
      <w:r>
        <w:rPr>
          <w:rFonts w:ascii="Times New Roman" w:hAnsi="Times New Roman" w:eastAsia="方正小标宋简体" w:cs="Times New Roman"/>
          <w:sz w:val="28"/>
          <w:szCs w:val="28"/>
        </w:rPr>
        <w:t>育林</w:t>
      </w:r>
      <w:r>
        <w:rPr>
          <w:rFonts w:hint="eastAsia" w:ascii="Times New Roman" w:hAnsi="Times New Roman" w:eastAsia="方正小标宋简体" w:cs="Times New Roman"/>
          <w:sz w:val="28"/>
          <w:szCs w:val="28"/>
        </w:rPr>
        <w:t>（草）</w:t>
      </w:r>
      <w:r>
        <w:rPr>
          <w:rFonts w:ascii="Times New Roman" w:hAnsi="Times New Roman" w:eastAsia="方正小标宋简体" w:cs="Times New Roman"/>
          <w:sz w:val="28"/>
          <w:szCs w:val="28"/>
        </w:rPr>
        <w:t>任务按年度规划表</w:t>
      </w:r>
    </w:p>
    <w:p>
      <w:pPr>
        <w:jc w:val="right"/>
        <w:rPr>
          <w:rFonts w:ascii="仿宋_GB2312" w:eastAsia="仿宋_GB2312"/>
        </w:rPr>
      </w:pPr>
      <w:r>
        <w:rPr>
          <w:rFonts w:hint="eastAsia" w:ascii="仿宋_GB2312" w:eastAsia="仿宋_GB2312"/>
        </w:rPr>
        <w:t>单位：公顷</w:t>
      </w:r>
    </w:p>
    <w:tbl>
      <w:tblPr>
        <w:tblStyle w:val="26"/>
        <w:tblW w:w="8522" w:type="dxa"/>
        <w:jc w:val="center"/>
        <w:tblLayout w:type="fixed"/>
        <w:tblCellMar>
          <w:top w:w="0" w:type="dxa"/>
          <w:left w:w="108" w:type="dxa"/>
          <w:bottom w:w="0" w:type="dxa"/>
          <w:right w:w="108" w:type="dxa"/>
        </w:tblCellMar>
      </w:tblPr>
      <w:tblGrid>
        <w:gridCol w:w="1218"/>
        <w:gridCol w:w="1219"/>
        <w:gridCol w:w="1219"/>
        <w:gridCol w:w="1217"/>
        <w:gridCol w:w="1217"/>
        <w:gridCol w:w="1217"/>
        <w:gridCol w:w="1215"/>
      </w:tblGrid>
      <w:tr>
        <w:tblPrEx>
          <w:tblCellMar>
            <w:top w:w="0" w:type="dxa"/>
            <w:left w:w="108" w:type="dxa"/>
            <w:bottom w:w="0" w:type="dxa"/>
            <w:right w:w="108" w:type="dxa"/>
          </w:tblCellMar>
        </w:tblPrEx>
        <w:trPr>
          <w:trHeight w:val="452" w:hRule="atLeast"/>
          <w:tblHeader/>
          <w:jc w:val="center"/>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统计单位</w:t>
            </w:r>
          </w:p>
        </w:tc>
        <w:tc>
          <w:tcPr>
            <w:tcW w:w="12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合计</w:t>
            </w:r>
          </w:p>
        </w:tc>
        <w:tc>
          <w:tcPr>
            <w:tcW w:w="12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2021</w:t>
            </w:r>
            <w:r>
              <w:rPr>
                <w:rFonts w:hint="eastAsia" w:ascii="仿宋_GB2312" w:hAnsi="Times New Roman" w:eastAsia="仿宋_GB2312" w:cs="Times New Roman"/>
                <w:b/>
                <w:bCs/>
                <w:color w:val="000000"/>
                <w:kern w:val="0"/>
                <w:sz w:val="22"/>
              </w:rPr>
              <w:t>年</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2022</w:t>
            </w:r>
            <w:r>
              <w:rPr>
                <w:rFonts w:hint="eastAsia" w:ascii="仿宋_GB2312" w:hAnsi="Times New Roman" w:eastAsia="仿宋_GB2312" w:cs="Times New Roman"/>
                <w:b/>
                <w:bCs/>
                <w:color w:val="000000"/>
                <w:kern w:val="0"/>
                <w:sz w:val="22"/>
              </w:rPr>
              <w:t>年</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2023</w:t>
            </w:r>
            <w:r>
              <w:rPr>
                <w:rFonts w:hint="eastAsia" w:ascii="仿宋_GB2312" w:hAnsi="Times New Roman" w:eastAsia="仿宋_GB2312" w:cs="Times New Roman"/>
                <w:b/>
                <w:bCs/>
                <w:color w:val="000000"/>
                <w:kern w:val="0"/>
                <w:sz w:val="22"/>
              </w:rPr>
              <w:t>年</w:t>
            </w:r>
          </w:p>
        </w:tc>
        <w:tc>
          <w:tcPr>
            <w:tcW w:w="12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2024</w:t>
            </w:r>
            <w:r>
              <w:rPr>
                <w:rFonts w:hint="eastAsia" w:ascii="仿宋_GB2312" w:hAnsi="Times New Roman" w:eastAsia="仿宋_GB2312" w:cs="Times New Roman"/>
                <w:b/>
                <w:bCs/>
                <w:color w:val="000000"/>
                <w:kern w:val="0"/>
                <w:sz w:val="22"/>
              </w:rPr>
              <w:t>年</w:t>
            </w:r>
          </w:p>
        </w:tc>
        <w:tc>
          <w:tcPr>
            <w:tcW w:w="12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广东省</w:t>
            </w:r>
          </w:p>
        </w:tc>
        <w:tc>
          <w:tcPr>
            <w:tcW w:w="121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sz w:val="22"/>
              </w:rPr>
              <w:t xml:space="preserve">43.3334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14.5922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14.3706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14.3706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汕头市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江门市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湛江市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43.3334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14.5922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14.3706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14.3706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茂名市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惠州市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汕尾市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阳江市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潮州市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jc w:val="center"/>
        </w:trPr>
        <w:tc>
          <w:tcPr>
            <w:tcW w:w="12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揭阳市</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9"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15"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bl>
    <w:p>
      <w:pPr>
        <w:pStyle w:val="5"/>
        <w:numPr>
          <w:ilvl w:val="0"/>
          <w:numId w:val="22"/>
        </w:numPr>
        <w:spacing w:before="156" w:beforeLines="50" w:after="156" w:afterLines="50" w:line="240" w:lineRule="auto"/>
        <w:ind w:left="0" w:firstLine="600" w:firstLineChars="200"/>
        <w:rPr>
          <w:rFonts w:eastAsia="仿宋_GB2312"/>
          <w:b w:val="0"/>
          <w:bCs w:val="0"/>
        </w:rPr>
      </w:pPr>
      <w:bookmarkStart w:id="152" w:name="_Toc130837949"/>
      <w:bookmarkStart w:id="153" w:name="_Toc130845602"/>
      <w:bookmarkStart w:id="154" w:name="_Toc130199808"/>
      <w:bookmarkStart w:id="155" w:name="_Toc130453180"/>
      <w:r>
        <w:rPr>
          <w:rFonts w:hint="eastAsia" w:eastAsia="仿宋_GB2312"/>
          <w:b w:val="0"/>
          <w:bCs w:val="0"/>
        </w:rPr>
        <w:t>森林抚育</w:t>
      </w:r>
      <w:bookmarkEnd w:id="152"/>
      <w:bookmarkEnd w:id="153"/>
      <w:bookmarkEnd w:id="154"/>
      <w:bookmarkEnd w:id="155"/>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为保证幼林成活，促进林木生长，改善林木组成，提高森林生产率，对沙化林地上中幼林进行重点抚育，优化乔灌草比例，提高防风固沙能力。</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根据对各工程治理县区进行工程量摸底调查，</w:t>
      </w:r>
      <w:r>
        <w:rPr>
          <w:rFonts w:ascii="Times New Roman" w:hAnsi="Times New Roman" w:eastAsia="仿宋_GB2312" w:cs="Times New Roman"/>
          <w:color w:val="000000" w:themeColor="text1"/>
          <w:sz w:val="30"/>
          <w:szCs w:val="30"/>
        </w:rPr>
        <w:t>确定工程规划</w:t>
      </w:r>
      <w:r>
        <w:rPr>
          <w:rFonts w:hint="eastAsia" w:ascii="Times New Roman" w:hAnsi="Times New Roman" w:eastAsia="仿宋_GB2312" w:cs="Times New Roman"/>
          <w:color w:val="000000" w:themeColor="text1"/>
          <w:sz w:val="30"/>
          <w:szCs w:val="30"/>
        </w:rPr>
        <w:t>森林抚育</w:t>
      </w:r>
      <w:r>
        <w:rPr>
          <w:rFonts w:ascii="Times New Roman" w:hAnsi="Times New Roman" w:eastAsia="仿宋_GB2312" w:cs="Times New Roman"/>
          <w:color w:val="000000" w:themeColor="text1"/>
          <w:sz w:val="30"/>
          <w:szCs w:val="30"/>
        </w:rPr>
        <w:t>面积</w:t>
      </w:r>
      <w:r>
        <w:rPr>
          <w:rFonts w:hint="eastAsia" w:ascii="Times New Roman" w:hAnsi="Times New Roman" w:eastAsia="仿宋_GB2312" w:cs="Times New Roman"/>
          <w:color w:val="000000" w:themeColor="text1"/>
          <w:sz w:val="30"/>
          <w:szCs w:val="30"/>
        </w:rPr>
        <w:t>1</w:t>
      </w:r>
      <w:r>
        <w:rPr>
          <w:rFonts w:ascii="Times New Roman" w:hAnsi="Times New Roman" w:eastAsia="仿宋_GB2312" w:cs="Times New Roman"/>
          <w:color w:val="000000" w:themeColor="text1"/>
          <w:sz w:val="30"/>
          <w:szCs w:val="30"/>
        </w:rPr>
        <w:t>192.2668公顷</w:t>
      </w:r>
      <w:r>
        <w:rPr>
          <w:rFonts w:hint="eastAsia" w:ascii="Times New Roman" w:hAnsi="Times New Roman" w:eastAsia="仿宋_GB2312" w:cs="Times New Roman"/>
          <w:color w:val="000000" w:themeColor="text1"/>
          <w:sz w:val="30"/>
          <w:szCs w:val="30"/>
        </w:rPr>
        <w:t>。</w:t>
      </w:r>
    </w:p>
    <w:p>
      <w:pPr>
        <w:pStyle w:val="7"/>
        <w:keepNext/>
        <w:spacing w:before="156" w:beforeLines="50"/>
        <w:jc w:val="center"/>
        <w:rPr>
          <w:rFonts w:ascii="Times New Roman" w:hAnsi="Times New Roman" w:eastAsia="方正小标宋简体" w:cs="Times New Roman"/>
          <w:sz w:val="28"/>
          <w:szCs w:val="28"/>
        </w:rPr>
      </w:pPr>
      <w:r>
        <w:rPr>
          <w:rFonts w:ascii="Times New Roman" w:hAnsi="Times New Roman" w:eastAsia="方正小标宋简体" w:cs="Times New Roman"/>
          <w:sz w:val="28"/>
          <w:szCs w:val="28"/>
        </w:rPr>
        <w:t>表5-</w:t>
      </w:r>
      <w:r>
        <w:rPr>
          <w:rFonts w:ascii="Times New Roman" w:hAnsi="Times New Roman" w:eastAsia="方正小标宋简体" w:cs="Times New Roman"/>
          <w:sz w:val="28"/>
          <w:szCs w:val="28"/>
        </w:rPr>
        <w:fldChar w:fldCharType="begin"/>
      </w:r>
      <w:r>
        <w:rPr>
          <w:rFonts w:ascii="Times New Roman" w:hAnsi="Times New Roman" w:eastAsia="方正小标宋简体" w:cs="Times New Roman"/>
          <w:sz w:val="28"/>
          <w:szCs w:val="28"/>
        </w:rPr>
        <w:instrText xml:space="preserve"> SEQ 表4- \* ARABIC </w:instrText>
      </w:r>
      <w:r>
        <w:rPr>
          <w:rFonts w:ascii="Times New Roman" w:hAnsi="Times New Roman" w:eastAsia="方正小标宋简体" w:cs="Times New Roman"/>
          <w:sz w:val="28"/>
          <w:szCs w:val="28"/>
        </w:rPr>
        <w:fldChar w:fldCharType="separate"/>
      </w:r>
      <w:r>
        <w:rPr>
          <w:rFonts w:ascii="Times New Roman" w:hAnsi="Times New Roman" w:eastAsia="方正小标宋简体" w:cs="Times New Roman"/>
          <w:sz w:val="28"/>
          <w:szCs w:val="28"/>
        </w:rPr>
        <w:t>5</w:t>
      </w:r>
      <w:r>
        <w:rPr>
          <w:rFonts w:ascii="Times New Roman" w:hAnsi="Times New Roman" w:eastAsia="方正小标宋简体" w:cs="Times New Roman"/>
          <w:sz w:val="28"/>
          <w:szCs w:val="28"/>
        </w:rPr>
        <w:fldChar w:fldCharType="end"/>
      </w:r>
      <w:r>
        <w:rPr>
          <w:rFonts w:ascii="Times New Roman" w:hAnsi="Times New Roman" w:eastAsia="方正小标宋简体" w:cs="Times New Roman"/>
          <w:sz w:val="28"/>
          <w:szCs w:val="28"/>
        </w:rPr>
        <w:t xml:space="preserve">  广东省防沙治沙规划</w:t>
      </w:r>
      <w:r>
        <w:rPr>
          <w:rFonts w:hint="eastAsia" w:ascii="Times New Roman" w:hAnsi="Times New Roman" w:eastAsia="方正小标宋简体" w:cs="Times New Roman"/>
          <w:sz w:val="28"/>
          <w:szCs w:val="28"/>
        </w:rPr>
        <w:t>森林抚育</w:t>
      </w:r>
      <w:r>
        <w:rPr>
          <w:rFonts w:ascii="Times New Roman" w:hAnsi="Times New Roman" w:eastAsia="方正小标宋简体" w:cs="Times New Roman"/>
          <w:sz w:val="28"/>
          <w:szCs w:val="28"/>
        </w:rPr>
        <w:t>任务按年度规划表</w:t>
      </w:r>
    </w:p>
    <w:p>
      <w:pPr>
        <w:jc w:val="right"/>
        <w:rPr>
          <w:rFonts w:ascii="仿宋_GB2312" w:eastAsia="仿宋_GB2312"/>
        </w:rPr>
      </w:pPr>
      <w:r>
        <w:rPr>
          <w:rFonts w:hint="eastAsia" w:ascii="仿宋_GB2312" w:eastAsia="仿宋_GB2312"/>
        </w:rPr>
        <w:t>单位：公顷</w:t>
      </w:r>
    </w:p>
    <w:tbl>
      <w:tblPr>
        <w:tblStyle w:val="26"/>
        <w:tblW w:w="8522" w:type="dxa"/>
        <w:tblInd w:w="0" w:type="dxa"/>
        <w:tblLayout w:type="fixed"/>
        <w:tblCellMar>
          <w:top w:w="0" w:type="dxa"/>
          <w:left w:w="108" w:type="dxa"/>
          <w:bottom w:w="0" w:type="dxa"/>
          <w:right w:w="108" w:type="dxa"/>
        </w:tblCellMar>
      </w:tblPr>
      <w:tblGrid>
        <w:gridCol w:w="1127"/>
        <w:gridCol w:w="1360"/>
        <w:gridCol w:w="1222"/>
        <w:gridCol w:w="1222"/>
        <w:gridCol w:w="1222"/>
        <w:gridCol w:w="1222"/>
        <w:gridCol w:w="1147"/>
      </w:tblGrid>
      <w:tr>
        <w:tblPrEx>
          <w:tblCellMar>
            <w:top w:w="0" w:type="dxa"/>
            <w:left w:w="108" w:type="dxa"/>
            <w:bottom w:w="0" w:type="dxa"/>
            <w:right w:w="108" w:type="dxa"/>
          </w:tblCellMar>
        </w:tblPrEx>
        <w:trPr>
          <w:trHeight w:val="593" w:hRule="atLeast"/>
          <w:tblHeader/>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统计单位</w:t>
            </w:r>
          </w:p>
        </w:tc>
        <w:tc>
          <w:tcPr>
            <w:tcW w:w="13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合计</w:t>
            </w:r>
          </w:p>
        </w:tc>
        <w:tc>
          <w:tcPr>
            <w:tcW w:w="12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2021</w:t>
            </w:r>
            <w:r>
              <w:rPr>
                <w:rFonts w:hint="eastAsia" w:ascii="仿宋_GB2312" w:hAnsi="Times New Roman" w:eastAsia="仿宋_GB2312" w:cs="Times New Roman"/>
                <w:b/>
                <w:bCs/>
                <w:color w:val="000000"/>
                <w:kern w:val="0"/>
                <w:sz w:val="22"/>
              </w:rPr>
              <w:t>年</w:t>
            </w:r>
          </w:p>
        </w:tc>
        <w:tc>
          <w:tcPr>
            <w:tcW w:w="12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2022</w:t>
            </w:r>
            <w:r>
              <w:rPr>
                <w:rFonts w:hint="eastAsia" w:ascii="仿宋_GB2312" w:hAnsi="Times New Roman" w:eastAsia="仿宋_GB2312" w:cs="Times New Roman"/>
                <w:b/>
                <w:bCs/>
                <w:color w:val="000000"/>
                <w:kern w:val="0"/>
                <w:sz w:val="22"/>
              </w:rPr>
              <w:t>年</w:t>
            </w:r>
          </w:p>
        </w:tc>
        <w:tc>
          <w:tcPr>
            <w:tcW w:w="12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2023</w:t>
            </w:r>
            <w:r>
              <w:rPr>
                <w:rFonts w:hint="eastAsia" w:ascii="仿宋_GB2312" w:hAnsi="Times New Roman" w:eastAsia="仿宋_GB2312" w:cs="Times New Roman"/>
                <w:b/>
                <w:bCs/>
                <w:color w:val="000000"/>
                <w:kern w:val="0"/>
                <w:sz w:val="22"/>
              </w:rPr>
              <w:t>年</w:t>
            </w:r>
          </w:p>
        </w:tc>
        <w:tc>
          <w:tcPr>
            <w:tcW w:w="12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2024</w:t>
            </w:r>
            <w:r>
              <w:rPr>
                <w:rFonts w:hint="eastAsia" w:ascii="仿宋_GB2312" w:hAnsi="Times New Roman" w:eastAsia="仿宋_GB2312" w:cs="Times New Roman"/>
                <w:b/>
                <w:bCs/>
                <w:color w:val="000000"/>
                <w:kern w:val="0"/>
                <w:sz w:val="22"/>
              </w:rPr>
              <w:t>年</w:t>
            </w:r>
          </w:p>
        </w:tc>
        <w:tc>
          <w:tcPr>
            <w:tcW w:w="114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广东省</w:t>
            </w:r>
          </w:p>
        </w:tc>
        <w:tc>
          <w:tcPr>
            <w:tcW w:w="136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sz w:val="22"/>
              </w:rPr>
              <w:t xml:space="preserve">1192.2668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397.5703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397.3483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397.3482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汕头市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江门市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湛江市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564.6667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188.2714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188.1977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188.1976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茂名市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8.0000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2.6914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2.6543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2.6543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惠州市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16.6667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5.5803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5.5432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5.5432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汕尾市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366.6667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122.2469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122.2099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122.2099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阳江市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潮州市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r>
      <w:tr>
        <w:tblPrEx>
          <w:tblCellMar>
            <w:top w:w="0" w:type="dxa"/>
            <w:left w:w="108" w:type="dxa"/>
            <w:bottom w:w="0" w:type="dxa"/>
            <w:right w:w="108" w:type="dxa"/>
          </w:tblCellMar>
        </w:tblPrEx>
        <w:trPr>
          <w:trHeight w:val="288" w:hRule="atLeast"/>
        </w:trPr>
        <w:tc>
          <w:tcPr>
            <w:tcW w:w="1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揭阳市</w:t>
            </w:r>
          </w:p>
        </w:tc>
        <w:tc>
          <w:tcPr>
            <w:tcW w:w="1360"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236.2667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78.7803 </w:t>
            </w:r>
          </w:p>
        </w:tc>
        <w:tc>
          <w:tcPr>
            <w:tcW w:w="1222"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78.7432 </w:t>
            </w:r>
          </w:p>
        </w:tc>
        <w:tc>
          <w:tcPr>
            <w:tcW w:w="1147" w:type="dxa"/>
            <w:tcBorders>
              <w:top w:val="nil"/>
              <w:left w:val="nil"/>
              <w:bottom w:val="single" w:color="auto" w:sz="4" w:space="0"/>
              <w:right w:val="single" w:color="auto" w:sz="4" w:space="0"/>
            </w:tcBorders>
            <w:shd w:val="clear" w:color="auto" w:fill="auto"/>
            <w:vAlign w:val="center"/>
          </w:tcPr>
          <w:p>
            <w:pPr>
              <w:jc w:val="righ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78.7432 </w:t>
            </w:r>
          </w:p>
        </w:tc>
      </w:tr>
    </w:tbl>
    <w:p>
      <w:pPr>
        <w:spacing w:line="560" w:lineRule="exact"/>
        <w:ind w:firstLine="600" w:firstLineChars="200"/>
        <w:rPr>
          <w:rFonts w:ascii="Times New Roman" w:hAnsi="Times New Roman" w:eastAsia="仿宋_GB2312" w:cs="Times New Roman"/>
          <w:color w:val="000000" w:themeColor="text1"/>
          <w:sz w:val="30"/>
          <w:szCs w:val="30"/>
        </w:rPr>
      </w:pPr>
    </w:p>
    <w:p>
      <w:pPr>
        <w:pStyle w:val="3"/>
        <w:numPr>
          <w:ilvl w:val="0"/>
          <w:numId w:val="21"/>
        </w:numPr>
        <w:spacing w:before="156" w:beforeLines="50" w:after="156" w:afterLines="50" w:line="276" w:lineRule="auto"/>
        <w:ind w:left="0" w:firstLine="640" w:firstLineChars="200"/>
        <w:rPr>
          <w:rFonts w:eastAsia="楷体"/>
          <w:b w:val="0"/>
          <w:bCs w:val="0"/>
          <w:sz w:val="32"/>
          <w:szCs w:val="32"/>
        </w:rPr>
      </w:pPr>
      <w:bookmarkStart w:id="156" w:name="_Toc130845603"/>
      <w:r>
        <w:rPr>
          <w:rFonts w:hint="eastAsia" w:eastAsia="楷体"/>
          <w:b w:val="0"/>
          <w:bCs w:val="0"/>
          <w:sz w:val="32"/>
          <w:szCs w:val="32"/>
        </w:rPr>
        <w:t>主要修复措施</w:t>
      </w:r>
      <w:bookmarkEnd w:id="156"/>
    </w:p>
    <w:p>
      <w:pPr>
        <w:tabs>
          <w:tab w:val="left" w:pos="1224"/>
        </w:tabs>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沿海沙化土地综合治理主要目标为沙化土地中的宜林沙地和草地、疏残林、受灾严重的低效林，主要采取人工造林种草、退化植被修复、封山（沙）育林育草等措施，以乔灌草结合的模式进行。</w:t>
      </w:r>
    </w:p>
    <w:p>
      <w:pPr>
        <w:pStyle w:val="5"/>
        <w:numPr>
          <w:ilvl w:val="0"/>
          <w:numId w:val="23"/>
        </w:numPr>
        <w:spacing w:before="156" w:beforeLines="50" w:after="156" w:afterLines="50" w:line="240" w:lineRule="auto"/>
        <w:ind w:left="0" w:firstLine="600" w:firstLineChars="200"/>
        <w:rPr>
          <w:rFonts w:eastAsia="仿宋_GB2312"/>
          <w:b w:val="0"/>
          <w:bCs w:val="0"/>
        </w:rPr>
      </w:pPr>
      <w:bookmarkStart w:id="157" w:name="_Toc130453171"/>
      <w:bookmarkStart w:id="158" w:name="_Toc130199799"/>
      <w:bookmarkStart w:id="159" w:name="_Toc130837951"/>
      <w:bookmarkStart w:id="160" w:name="_Toc130845604"/>
      <w:bookmarkStart w:id="161" w:name="_Toc129795620"/>
      <w:r>
        <w:rPr>
          <w:rFonts w:hint="eastAsia" w:eastAsia="仿宋_GB2312"/>
          <w:b w:val="0"/>
          <w:bCs w:val="0"/>
        </w:rPr>
        <w:t>人工造林种草</w:t>
      </w:r>
      <w:bookmarkEnd w:id="157"/>
      <w:bookmarkEnd w:id="158"/>
      <w:bookmarkEnd w:id="159"/>
      <w:bookmarkEnd w:id="160"/>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人工造林按照乔灌草结合的模式，栽植乔木树种和灌草树种，合理营造防风固沙网、林带等，实现防风固沙，改良土壤。</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乔木造林树种应充分利用当地有天然分布且分布普遍、生长良好的乡土树种。适当选择引种试验成功的外来速生优良树种。可选择木麻黄、台湾相思、黄瑾、血桐、杨叶肖槿、草海桐、红厚壳等树种进行造林。灌木草本种可选择露蔸、铺地藤、九节、海金沙、厚藤等。</w:t>
      </w:r>
    </w:p>
    <w:p>
      <w:pPr>
        <w:pStyle w:val="5"/>
        <w:numPr>
          <w:ilvl w:val="0"/>
          <w:numId w:val="23"/>
        </w:numPr>
        <w:spacing w:before="156" w:beforeLines="50" w:after="156" w:afterLines="50" w:line="240" w:lineRule="auto"/>
        <w:ind w:left="0" w:firstLine="600" w:firstLineChars="200"/>
        <w:rPr>
          <w:rFonts w:eastAsia="仿宋_GB2312"/>
          <w:b w:val="0"/>
          <w:bCs w:val="0"/>
        </w:rPr>
      </w:pPr>
      <w:bookmarkStart w:id="162" w:name="_Toc130845605"/>
      <w:bookmarkStart w:id="163" w:name="_Toc130837952"/>
      <w:bookmarkStart w:id="164" w:name="_Toc130199800"/>
      <w:bookmarkStart w:id="165" w:name="_Toc129795621"/>
      <w:bookmarkStart w:id="166" w:name="_Toc130453172"/>
      <w:r>
        <w:rPr>
          <w:rFonts w:hint="eastAsia" w:eastAsia="仿宋_GB2312"/>
          <w:b w:val="0"/>
          <w:bCs w:val="0"/>
        </w:rPr>
        <w:t>退化植被修复</w:t>
      </w:r>
      <w:bookmarkEnd w:id="162"/>
      <w:bookmarkEnd w:id="163"/>
      <w:bookmarkEnd w:id="164"/>
      <w:bookmarkEnd w:id="165"/>
      <w:bookmarkEnd w:id="166"/>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对沙化土地中的疏残林地、成过熟及退化的人工乔木林、灌木</w:t>
      </w:r>
      <w:r>
        <w:rPr>
          <w:rFonts w:ascii="Times New Roman" w:hAnsi="Times New Roman" w:eastAsia="仿宋_GB2312" w:cs="Times New Roman"/>
          <w:color w:val="000000" w:themeColor="text1"/>
          <w:sz w:val="30"/>
          <w:szCs w:val="30"/>
        </w:rPr>
        <w:t>林进行更新，提质增效</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恢复生态防护功能。实施重点对象为林分生长衰竭、难以自然更新的</w:t>
      </w:r>
      <w:r>
        <w:rPr>
          <w:rFonts w:hint="eastAsia" w:ascii="Times New Roman" w:hAnsi="Times New Roman" w:eastAsia="仿宋_GB2312" w:cs="Times New Roman"/>
          <w:color w:val="000000" w:themeColor="text1"/>
          <w:sz w:val="30"/>
          <w:szCs w:val="30"/>
        </w:rPr>
        <w:t>，植被郁闭度较低的</w:t>
      </w:r>
      <w:r>
        <w:rPr>
          <w:rFonts w:ascii="Times New Roman" w:hAnsi="Times New Roman" w:eastAsia="仿宋_GB2312" w:cs="Times New Roman"/>
          <w:color w:val="000000" w:themeColor="text1"/>
          <w:sz w:val="30"/>
          <w:szCs w:val="30"/>
        </w:rPr>
        <w:t>防风固沙林</w:t>
      </w:r>
      <w:r>
        <w:rPr>
          <w:rFonts w:hint="eastAsia" w:ascii="Times New Roman" w:hAnsi="Times New Roman" w:eastAsia="仿宋_GB2312" w:cs="Times New Roman"/>
          <w:color w:val="000000" w:themeColor="text1"/>
          <w:sz w:val="30"/>
          <w:szCs w:val="30"/>
        </w:rPr>
        <w:t>，以及在沙化土地中遭受台风破坏的低效林。</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对萌蘖能力强的灌木进行平茬、修剪，</w:t>
      </w:r>
      <w:r>
        <w:rPr>
          <w:rFonts w:ascii="Times New Roman" w:hAnsi="Times New Roman" w:eastAsia="仿宋_GB2312" w:cs="Times New Roman"/>
          <w:color w:val="000000" w:themeColor="text1"/>
          <w:sz w:val="30"/>
          <w:szCs w:val="30"/>
        </w:rPr>
        <w:t>实现复壮，提高生态防护功能。</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沙地植被生态补水。通过实施汛期相机引洪或调度流域水资源进行生态补水，促进生态恢复。</w:t>
      </w:r>
    </w:p>
    <w:p>
      <w:pPr>
        <w:pStyle w:val="5"/>
        <w:numPr>
          <w:ilvl w:val="0"/>
          <w:numId w:val="23"/>
        </w:numPr>
        <w:spacing w:before="156" w:beforeLines="50" w:after="156" w:afterLines="50" w:line="240" w:lineRule="auto"/>
        <w:ind w:left="0" w:firstLine="600" w:firstLineChars="200"/>
        <w:rPr>
          <w:rFonts w:eastAsia="仿宋_GB2312"/>
          <w:b w:val="0"/>
          <w:bCs w:val="0"/>
        </w:rPr>
      </w:pPr>
      <w:bookmarkStart w:id="167" w:name="_Toc130453173"/>
      <w:bookmarkStart w:id="168" w:name="_Toc130199801"/>
      <w:bookmarkStart w:id="169" w:name="_Toc130837953"/>
      <w:bookmarkStart w:id="170" w:name="_Toc130845606"/>
      <w:r>
        <w:rPr>
          <w:rFonts w:hint="eastAsia" w:eastAsia="仿宋_GB2312"/>
          <w:b w:val="0"/>
          <w:bCs w:val="0"/>
        </w:rPr>
        <w:t>封山（沙）育林（草）</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对具备植物繁衍、生长发育条件的沙化土地</w:t>
      </w:r>
      <w:r>
        <w:rPr>
          <w:rFonts w:ascii="Times New Roman" w:hAnsi="Times New Roman" w:eastAsia="仿宋_GB2312" w:cs="Times New Roman"/>
          <w:color w:val="000000" w:themeColor="text1"/>
          <w:sz w:val="30"/>
          <w:szCs w:val="30"/>
        </w:rPr>
        <w:t>，通过采取围栏封育、人工促进等手段，提高沙区林草植被盖度，恢复生态。</w:t>
      </w:r>
      <w:r>
        <w:rPr>
          <w:rFonts w:hint="eastAsia" w:ascii="Times New Roman" w:hAnsi="Times New Roman" w:eastAsia="仿宋_GB2312" w:cs="Times New Roman"/>
          <w:color w:val="000000" w:themeColor="text1"/>
          <w:sz w:val="30"/>
          <w:szCs w:val="30"/>
        </w:rPr>
        <w:t>设置明显标志，并配置护林人员，加强日常管护，杜绝一切野外用火，同时做好森林病虫害预防、预控工作。</w:t>
      </w:r>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sz w:val="30"/>
          <w:szCs w:val="30"/>
        </w:rPr>
        <w:t>具体技术措施</w:t>
      </w:r>
      <w:r>
        <w:rPr>
          <w:rFonts w:hint="eastAsia" w:ascii="Times New Roman" w:hAnsi="Times New Roman" w:eastAsia="仿宋_GB2312" w:cs="Times New Roman"/>
          <w:color w:val="000000" w:themeColor="text1"/>
          <w:sz w:val="30"/>
          <w:szCs w:val="30"/>
        </w:rPr>
        <w:t>可</w:t>
      </w:r>
      <w:r>
        <w:rPr>
          <w:rFonts w:hint="eastAsia" w:ascii="Times New Roman" w:hAnsi="Times New Roman" w:eastAsia="仿宋_GB2312" w:cs="Times New Roman"/>
          <w:color w:val="000000"/>
          <w:sz w:val="30"/>
          <w:szCs w:val="30"/>
        </w:rPr>
        <w:t>参考《封山（</w:t>
      </w:r>
      <w:r>
        <w:rPr>
          <w:rFonts w:ascii="Times New Roman" w:hAnsi="Times New Roman" w:eastAsia="仿宋_GB2312" w:cs="Times New Roman"/>
          <w:color w:val="000000"/>
          <w:sz w:val="30"/>
          <w:szCs w:val="30"/>
        </w:rPr>
        <w:t>沙</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育林技术规程</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GB/T15163</w:t>
      </w:r>
      <w:r>
        <w:rPr>
          <w:rFonts w:hint="eastAsia" w:ascii="Times New Roman" w:hAnsi="Times New Roman" w:eastAsia="仿宋_GB2312" w:cs="Times New Roman"/>
          <w:color w:val="000000"/>
          <w:sz w:val="30"/>
          <w:szCs w:val="30"/>
        </w:rPr>
        <w:t>-2</w:t>
      </w:r>
      <w:r>
        <w:rPr>
          <w:rFonts w:ascii="Times New Roman" w:hAnsi="Times New Roman" w:eastAsia="仿宋_GB2312" w:cs="Times New Roman"/>
          <w:color w:val="000000"/>
          <w:sz w:val="30"/>
          <w:szCs w:val="30"/>
        </w:rPr>
        <w:t>018</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执行</w:t>
      </w:r>
      <w:r>
        <w:rPr>
          <w:rFonts w:hint="eastAsia" w:ascii="Times New Roman" w:hAnsi="Times New Roman" w:eastAsia="仿宋_GB2312" w:cs="Times New Roman"/>
          <w:color w:val="000000"/>
          <w:sz w:val="30"/>
          <w:szCs w:val="30"/>
        </w:rPr>
        <w:t>。</w:t>
      </w:r>
    </w:p>
    <w:p>
      <w:pPr>
        <w:pStyle w:val="5"/>
        <w:numPr>
          <w:ilvl w:val="0"/>
          <w:numId w:val="23"/>
        </w:numPr>
        <w:spacing w:before="156" w:beforeLines="50" w:after="156" w:afterLines="50" w:line="240" w:lineRule="auto"/>
        <w:ind w:left="0" w:firstLine="600" w:firstLineChars="200"/>
        <w:rPr>
          <w:rFonts w:eastAsia="仿宋_GB2312"/>
          <w:b w:val="0"/>
          <w:bCs w:val="0"/>
        </w:rPr>
      </w:pPr>
      <w:r>
        <w:rPr>
          <w:rFonts w:hint="eastAsia" w:eastAsia="仿宋_GB2312"/>
          <w:b w:val="0"/>
          <w:bCs w:val="0"/>
        </w:rPr>
        <w:t>森林抚育</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为保证幼林成活，促进林木生长，改善林木组成，提高森林生产率，对已治理的沙化土地进行森林抚育，优化乔灌草比例，提高防风固沙能力。</w:t>
      </w:r>
    </w:p>
    <w:p>
      <w:pPr>
        <w:spacing w:line="560" w:lineRule="exact"/>
        <w:ind w:firstLine="600" w:firstLineChars="200"/>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color w:val="000000" w:themeColor="text1"/>
          <w:sz w:val="30"/>
          <w:szCs w:val="30"/>
        </w:rPr>
        <w:t>具体技术措施可参考《</w:t>
      </w:r>
      <w:r>
        <w:rPr>
          <w:rFonts w:ascii="Times New Roman" w:hAnsi="Times New Roman" w:eastAsia="仿宋_GB2312" w:cs="Times New Roman"/>
          <w:color w:val="000000" w:themeColor="text1"/>
          <w:sz w:val="30"/>
          <w:szCs w:val="30"/>
        </w:rPr>
        <w:t>森林抚育规程</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GB∕T 15781-2015</w:t>
      </w:r>
      <w:r>
        <w:rPr>
          <w:rFonts w:hint="eastAsia" w:ascii="Times New Roman" w:hAnsi="Times New Roman" w:eastAsia="仿宋_GB2312" w:cs="Times New Roman"/>
          <w:color w:val="000000" w:themeColor="text1"/>
          <w:sz w:val="30"/>
          <w:szCs w:val="30"/>
        </w:rPr>
        <w:t>执行。</w:t>
      </w:r>
    </w:p>
    <w:bookmarkEnd w:id="161"/>
    <w:bookmarkEnd w:id="167"/>
    <w:bookmarkEnd w:id="168"/>
    <w:bookmarkEnd w:id="169"/>
    <w:bookmarkEnd w:id="170"/>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171" w:name="_Toc130845608"/>
      <w:r>
        <w:rPr>
          <w:rFonts w:hint="eastAsia" w:ascii="Times New Roman" w:hAnsi="Times New Roman" w:eastAsia="黑体" w:cs="Times New Roman"/>
          <w:b w:val="0"/>
          <w:bCs w:val="0"/>
          <w:sz w:val="36"/>
          <w:szCs w:val="36"/>
        </w:rPr>
        <w:t>监测评估体系能力建设</w:t>
      </w:r>
      <w:bookmarkEnd w:id="171"/>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通过</w:t>
      </w:r>
      <w:r>
        <w:rPr>
          <w:rFonts w:hint="eastAsia" w:ascii="Times New Roman" w:hAnsi="Times New Roman" w:eastAsia="仿宋_GB2312" w:cs="Times New Roman"/>
          <w:color w:val="000000" w:themeColor="text1"/>
          <w:sz w:val="30"/>
          <w:szCs w:val="30"/>
        </w:rPr>
        <w:t>宏观调查监测、年度趋势监测和工程成效评估</w:t>
      </w:r>
      <w:r>
        <w:rPr>
          <w:rFonts w:ascii="Times New Roman" w:hAnsi="Times New Roman" w:eastAsia="仿宋_GB2312" w:cs="Times New Roman"/>
          <w:color w:val="000000" w:themeColor="text1"/>
          <w:sz w:val="30"/>
          <w:szCs w:val="30"/>
        </w:rPr>
        <w:t>相结合的沙化监测体系，对沙化土地治理情况开展监测，及时、全面掌握沙化土地现状和各项治理措施的数量、质量及实施进度等情况，</w:t>
      </w:r>
      <w:r>
        <w:rPr>
          <w:rFonts w:hint="eastAsia" w:ascii="Times New Roman" w:hAnsi="Times New Roman" w:eastAsia="仿宋_GB2312" w:cs="Times New Roman"/>
          <w:color w:val="000000" w:themeColor="text1"/>
          <w:sz w:val="30"/>
          <w:szCs w:val="30"/>
        </w:rPr>
        <w:t>为预防土地沙化提供基础数据支持。</w:t>
      </w:r>
      <w:r>
        <w:rPr>
          <w:rFonts w:ascii="Times New Roman" w:hAnsi="Times New Roman" w:eastAsia="仿宋_GB2312" w:cs="Times New Roman"/>
          <w:color w:val="000000" w:themeColor="text1"/>
          <w:sz w:val="30"/>
          <w:szCs w:val="30"/>
        </w:rPr>
        <w:t>科学分析和评价防沙治沙综合效益，考核工程目标任务完成情况，建立沙化监测体系和监测管理信息系统，为</w:t>
      </w:r>
      <w:r>
        <w:rPr>
          <w:rFonts w:hint="eastAsia" w:ascii="Times New Roman" w:hAnsi="Times New Roman" w:eastAsia="仿宋_GB2312" w:cs="Times New Roman"/>
          <w:color w:val="000000" w:themeColor="text1"/>
          <w:sz w:val="30"/>
          <w:szCs w:val="30"/>
        </w:rPr>
        <w:t>广东省</w:t>
      </w:r>
      <w:r>
        <w:rPr>
          <w:rFonts w:ascii="Times New Roman" w:hAnsi="Times New Roman" w:eastAsia="仿宋_GB2312" w:cs="Times New Roman"/>
          <w:color w:val="000000" w:themeColor="text1"/>
          <w:sz w:val="30"/>
          <w:szCs w:val="30"/>
        </w:rPr>
        <w:t>各级政府决策提供科学依据。</w:t>
      </w:r>
    </w:p>
    <w:p>
      <w:pPr>
        <w:pStyle w:val="3"/>
        <w:numPr>
          <w:ilvl w:val="0"/>
          <w:numId w:val="24"/>
        </w:numPr>
        <w:spacing w:before="156" w:beforeLines="50" w:after="156" w:afterLines="50" w:line="276" w:lineRule="auto"/>
        <w:ind w:left="0" w:firstLine="640" w:firstLineChars="200"/>
        <w:rPr>
          <w:rFonts w:eastAsia="楷体"/>
          <w:b w:val="0"/>
          <w:bCs w:val="0"/>
          <w:sz w:val="32"/>
          <w:szCs w:val="32"/>
        </w:rPr>
      </w:pPr>
      <w:bookmarkStart w:id="172" w:name="_Toc129795612"/>
      <w:bookmarkStart w:id="173" w:name="_Toc130845609"/>
      <w:bookmarkStart w:id="174" w:name="_Toc130199822"/>
      <w:r>
        <w:rPr>
          <w:rFonts w:hint="eastAsia" w:eastAsia="楷体"/>
          <w:b w:val="0"/>
          <w:bCs w:val="0"/>
          <w:sz w:val="32"/>
          <w:szCs w:val="32"/>
        </w:rPr>
        <w:t>完善监测体系</w:t>
      </w:r>
      <w:bookmarkEnd w:id="172"/>
      <w:bookmarkEnd w:id="173"/>
      <w:bookmarkEnd w:id="174"/>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沙化土地效益监测体系由</w:t>
      </w:r>
      <w:r>
        <w:rPr>
          <w:rFonts w:hint="eastAsia" w:ascii="Times New Roman" w:hAnsi="Times New Roman" w:eastAsia="仿宋_GB2312" w:cs="Times New Roman"/>
          <w:color w:val="000000" w:themeColor="text1"/>
          <w:sz w:val="30"/>
          <w:szCs w:val="30"/>
        </w:rPr>
        <w:t>宏观调查监测</w:t>
      </w:r>
      <w:r>
        <w:rPr>
          <w:rFonts w:ascii="Times New Roman" w:hAnsi="Times New Roman" w:eastAsia="仿宋_GB2312" w:cs="Times New Roman"/>
          <w:color w:val="000000" w:themeColor="text1"/>
          <w:sz w:val="30"/>
          <w:szCs w:val="30"/>
        </w:rPr>
        <w:t>、</w:t>
      </w:r>
      <w:r>
        <w:rPr>
          <w:rFonts w:hint="eastAsia" w:ascii="Times New Roman" w:hAnsi="Times New Roman" w:eastAsia="仿宋_GB2312" w:cs="Times New Roman"/>
          <w:color w:val="000000" w:themeColor="text1"/>
          <w:sz w:val="30"/>
          <w:szCs w:val="30"/>
        </w:rPr>
        <w:t>年度趋势监测</w:t>
      </w:r>
      <w:r>
        <w:rPr>
          <w:rFonts w:ascii="Times New Roman" w:hAnsi="Times New Roman" w:eastAsia="仿宋_GB2312" w:cs="Times New Roman"/>
          <w:color w:val="000000" w:themeColor="text1"/>
          <w:sz w:val="30"/>
          <w:szCs w:val="30"/>
        </w:rPr>
        <w:t>和工程成效</w:t>
      </w:r>
      <w:r>
        <w:rPr>
          <w:rFonts w:hint="eastAsia" w:ascii="Times New Roman" w:hAnsi="Times New Roman" w:eastAsia="仿宋_GB2312" w:cs="Times New Roman"/>
          <w:color w:val="000000" w:themeColor="text1"/>
          <w:sz w:val="30"/>
          <w:szCs w:val="30"/>
        </w:rPr>
        <w:t>评估</w:t>
      </w:r>
      <w:r>
        <w:rPr>
          <w:rFonts w:ascii="Times New Roman" w:hAnsi="Times New Roman" w:eastAsia="仿宋_GB2312" w:cs="Times New Roman"/>
          <w:color w:val="000000" w:themeColor="text1"/>
          <w:sz w:val="30"/>
          <w:szCs w:val="30"/>
        </w:rPr>
        <w:t>构成。</w:t>
      </w:r>
    </w:p>
    <w:p>
      <w:pPr>
        <w:pStyle w:val="5"/>
        <w:numPr>
          <w:ilvl w:val="0"/>
          <w:numId w:val="25"/>
        </w:numPr>
        <w:spacing w:before="156" w:beforeLines="50" w:after="156" w:afterLines="50" w:line="240" w:lineRule="auto"/>
        <w:ind w:left="0" w:firstLine="600" w:firstLineChars="200"/>
        <w:rPr>
          <w:rFonts w:eastAsia="仿宋_GB2312"/>
          <w:b w:val="0"/>
          <w:bCs w:val="0"/>
        </w:rPr>
      </w:pPr>
      <w:bookmarkStart w:id="175" w:name="_Toc130845610"/>
      <w:bookmarkStart w:id="176" w:name="_Toc130837957"/>
      <w:bookmarkStart w:id="177" w:name="_Toc130453184"/>
      <w:r>
        <w:rPr>
          <w:rFonts w:hint="eastAsia" w:eastAsia="仿宋_GB2312"/>
          <w:b w:val="0"/>
          <w:bCs w:val="0"/>
        </w:rPr>
        <w:t>宏观调查监测</w:t>
      </w:r>
      <w:bookmarkEnd w:id="175"/>
      <w:bookmarkEnd w:id="176"/>
      <w:bookmarkEnd w:id="17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宏观调查监测以沙化本底调查为基础，建立起基于“空天地”一体化，智慧化的宏观监测体系，确定以5年为周期，对规划范围内的土地沙化动态变化情况进行调查监测，查清沙化土地类型、程度和变化发展规律。</w:t>
      </w:r>
    </w:p>
    <w:p>
      <w:pPr>
        <w:pStyle w:val="5"/>
        <w:numPr>
          <w:ilvl w:val="0"/>
          <w:numId w:val="25"/>
        </w:numPr>
        <w:spacing w:before="156" w:beforeLines="50" w:after="156" w:afterLines="50" w:line="240" w:lineRule="auto"/>
        <w:ind w:left="0" w:firstLine="600" w:firstLineChars="200"/>
        <w:rPr>
          <w:rFonts w:eastAsia="仿宋_GB2312"/>
          <w:b w:val="0"/>
          <w:bCs w:val="0"/>
        </w:rPr>
      </w:pPr>
      <w:bookmarkStart w:id="178" w:name="_Toc130845611"/>
      <w:bookmarkStart w:id="179" w:name="_Toc130837958"/>
      <w:bookmarkStart w:id="180" w:name="_Toc130453185"/>
      <w:r>
        <w:rPr>
          <w:rFonts w:hint="eastAsia" w:eastAsia="仿宋_GB2312"/>
          <w:b w:val="0"/>
          <w:bCs w:val="0"/>
        </w:rPr>
        <w:t>年度趋势监测</w:t>
      </w:r>
      <w:bookmarkEnd w:id="178"/>
      <w:bookmarkEnd w:id="179"/>
      <w:bookmarkEnd w:id="180"/>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年度趋势监测以宏观调查监测成果为基础，结合林草湿变化图斑核实工作，开展沙化年度变更调查监测，更新数据库成果，方便及时掌握沙化土地的分布现状、动态变化情况和发展趋势等空间规律，为国家和地方科学防沙治沙提供高时效、高质量的数据支持。规划期每年进行一次变更调查。</w:t>
      </w:r>
    </w:p>
    <w:p>
      <w:pPr>
        <w:pStyle w:val="5"/>
        <w:numPr>
          <w:ilvl w:val="0"/>
          <w:numId w:val="25"/>
        </w:numPr>
        <w:spacing w:before="156" w:beforeLines="50" w:after="156" w:afterLines="50" w:line="240" w:lineRule="auto"/>
        <w:ind w:left="0" w:firstLine="600" w:firstLineChars="200"/>
        <w:rPr>
          <w:rFonts w:eastAsia="仿宋_GB2312"/>
          <w:b w:val="0"/>
          <w:bCs w:val="0"/>
        </w:rPr>
      </w:pPr>
      <w:bookmarkStart w:id="181" w:name="_Toc130837959"/>
      <w:bookmarkStart w:id="182" w:name="_Toc130453186"/>
      <w:bookmarkStart w:id="183" w:name="_Toc130845612"/>
      <w:bookmarkStart w:id="184" w:name="_Hlk129365209"/>
      <w:r>
        <w:rPr>
          <w:rFonts w:hint="eastAsia" w:eastAsia="仿宋_GB2312"/>
          <w:b w:val="0"/>
          <w:bCs w:val="0"/>
        </w:rPr>
        <w:t>工程成效评估</w:t>
      </w:r>
      <w:bookmarkEnd w:id="181"/>
      <w:bookmarkEnd w:id="182"/>
      <w:bookmarkEnd w:id="183"/>
    </w:p>
    <w:bookmarkEnd w:id="184"/>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规划充分利用现有的广东沿海森林生态站，结合地面调查和资料收集，研究工程实施后各典型地区沙化土地植被恢复状况，特别是土壤理化性质、植物种群特征等因子的动态变化。</w:t>
      </w:r>
    </w:p>
    <w:p>
      <w:pPr>
        <w:spacing w:line="560" w:lineRule="exact"/>
        <w:ind w:firstLine="600" w:firstLineChars="2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对工程建设的全过程</w:t>
      </w:r>
      <w:r>
        <w:rPr>
          <w:rFonts w:hint="eastAsia" w:ascii="Times New Roman" w:hAnsi="Times New Roman" w:eastAsia="仿宋_GB2312" w:cs="Times New Roman"/>
          <w:color w:val="000000" w:themeColor="text1"/>
          <w:sz w:val="30"/>
          <w:szCs w:val="30"/>
        </w:rPr>
        <w:t>进行</w:t>
      </w:r>
      <w:r>
        <w:rPr>
          <w:rFonts w:ascii="Times New Roman" w:hAnsi="Times New Roman" w:eastAsia="仿宋_GB2312" w:cs="Times New Roman"/>
          <w:color w:val="000000" w:themeColor="text1"/>
          <w:sz w:val="30"/>
          <w:szCs w:val="30"/>
        </w:rPr>
        <w:t>监测。监测内容包括工程建设进度、任务完成情况、工程质量以及工程实施后的生态、社会</w:t>
      </w:r>
      <w:r>
        <w:rPr>
          <w:rFonts w:hint="eastAsia" w:ascii="Times New Roman" w:hAnsi="Times New Roman" w:eastAsia="仿宋_GB2312" w:cs="Times New Roman"/>
          <w:color w:val="000000" w:themeColor="text1"/>
          <w:sz w:val="30"/>
          <w:szCs w:val="30"/>
        </w:rPr>
        <w:t>和</w:t>
      </w:r>
      <w:r>
        <w:rPr>
          <w:rFonts w:ascii="Times New Roman" w:hAnsi="Times New Roman" w:eastAsia="仿宋_GB2312" w:cs="Times New Roman"/>
          <w:color w:val="000000" w:themeColor="text1"/>
          <w:sz w:val="30"/>
          <w:szCs w:val="30"/>
        </w:rPr>
        <w:t>经济效益。将监测结果按年度及时反馈通报，并加强工程建设治理评价，以便为工程实施和后续政策的制定</w:t>
      </w:r>
      <w:r>
        <w:rPr>
          <w:rFonts w:hint="eastAsia" w:ascii="Times New Roman" w:hAnsi="Times New Roman" w:eastAsia="仿宋_GB2312" w:cs="Times New Roman"/>
          <w:color w:val="000000" w:themeColor="text1"/>
          <w:sz w:val="30"/>
          <w:szCs w:val="30"/>
        </w:rPr>
        <w:t>与</w:t>
      </w:r>
      <w:r>
        <w:rPr>
          <w:rFonts w:ascii="Times New Roman" w:hAnsi="Times New Roman" w:eastAsia="仿宋_GB2312" w:cs="Times New Roman"/>
          <w:color w:val="000000" w:themeColor="text1"/>
          <w:sz w:val="30"/>
          <w:szCs w:val="30"/>
        </w:rPr>
        <w:t>调整提供科学依据。</w:t>
      </w:r>
    </w:p>
    <w:p>
      <w:pPr>
        <w:pStyle w:val="3"/>
        <w:numPr>
          <w:ilvl w:val="0"/>
          <w:numId w:val="24"/>
        </w:numPr>
        <w:spacing w:before="156" w:beforeLines="50" w:after="156" w:afterLines="50" w:line="276" w:lineRule="auto"/>
        <w:ind w:left="0" w:firstLine="640" w:firstLineChars="200"/>
        <w:rPr>
          <w:rFonts w:eastAsia="楷体"/>
          <w:b w:val="0"/>
          <w:bCs w:val="0"/>
          <w:sz w:val="32"/>
          <w:szCs w:val="32"/>
        </w:rPr>
      </w:pPr>
      <w:bookmarkStart w:id="185" w:name="_Toc129795613"/>
      <w:bookmarkStart w:id="186" w:name="_Toc130845613"/>
      <w:bookmarkStart w:id="187" w:name="_Toc130199823"/>
      <w:r>
        <w:rPr>
          <w:rFonts w:hint="eastAsia" w:eastAsia="楷体"/>
          <w:b w:val="0"/>
          <w:bCs w:val="0"/>
          <w:sz w:val="32"/>
          <w:szCs w:val="32"/>
        </w:rPr>
        <w:t>监测方法</w:t>
      </w:r>
      <w:bookmarkEnd w:id="185"/>
      <w:bookmarkEnd w:id="186"/>
      <w:bookmarkEnd w:id="18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沙化地区监测主要采用遥感监测、样地调查监测和问卷调查等方法相结合的方式。</w:t>
      </w:r>
    </w:p>
    <w:p>
      <w:pPr>
        <w:pStyle w:val="5"/>
        <w:numPr>
          <w:ilvl w:val="0"/>
          <w:numId w:val="26"/>
        </w:numPr>
        <w:spacing w:before="156" w:beforeLines="50" w:after="156" w:afterLines="50" w:line="240" w:lineRule="auto"/>
        <w:ind w:left="0" w:firstLine="600" w:firstLineChars="200"/>
        <w:rPr>
          <w:rFonts w:eastAsia="仿宋_GB2312"/>
          <w:b w:val="0"/>
          <w:bCs w:val="0"/>
        </w:rPr>
      </w:pPr>
      <w:bookmarkStart w:id="188" w:name="_Toc130453188"/>
      <w:bookmarkStart w:id="189" w:name="_Toc130837961"/>
      <w:bookmarkStart w:id="190" w:name="_Toc130845614"/>
      <w:r>
        <w:rPr>
          <w:rFonts w:hint="eastAsia" w:eastAsia="仿宋_GB2312"/>
          <w:b w:val="0"/>
          <w:bCs w:val="0"/>
        </w:rPr>
        <w:t>遥感监测</w:t>
      </w:r>
      <w:bookmarkEnd w:id="188"/>
      <w:bookmarkEnd w:id="189"/>
      <w:bookmarkEnd w:id="190"/>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利用空间分辨率高，能够进行目视判别；观测频率密集，能够实现获取生长季无云最优合成结果；观测波段足，能够能反映植被状况；处理速度快，满足遥感监测的内外业处理需求的遥感影像数据，构建遥感影像色谱特征和纹理特征，采用差值和变化向量等方法提取变化区域；叠加最新一期宏观监测图斑，找出变化图斑，制作外业工作底图。以实地现状认定地类的原则，逐图斑核实图斑属性，利用无人机和相机进行举证拍照。</w:t>
      </w:r>
    </w:p>
    <w:p>
      <w:pPr>
        <w:pStyle w:val="5"/>
        <w:numPr>
          <w:ilvl w:val="0"/>
          <w:numId w:val="26"/>
        </w:numPr>
        <w:spacing w:before="156" w:beforeLines="50" w:after="156" w:afterLines="50" w:line="240" w:lineRule="auto"/>
        <w:ind w:left="0" w:firstLine="600" w:firstLineChars="200"/>
        <w:rPr>
          <w:rFonts w:eastAsia="仿宋_GB2312"/>
          <w:b w:val="0"/>
          <w:bCs w:val="0"/>
        </w:rPr>
      </w:pPr>
      <w:bookmarkStart w:id="191" w:name="_Toc130453189"/>
      <w:bookmarkStart w:id="192" w:name="_Toc130837962"/>
      <w:bookmarkStart w:id="193" w:name="_Toc130845615"/>
      <w:r>
        <w:rPr>
          <w:rFonts w:hint="eastAsia" w:eastAsia="仿宋_GB2312"/>
          <w:b w:val="0"/>
          <w:bCs w:val="0"/>
        </w:rPr>
        <w:t>样地调查监测</w:t>
      </w:r>
      <w:bookmarkEnd w:id="191"/>
      <w:bookmarkEnd w:id="192"/>
      <w:bookmarkEnd w:id="193"/>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根据样本量控制方法，确定样地数量；采用空间采样方法，确定样地的空间位置及分布，考虑到沙化植被样地布设需要同时捕捉植被盖度、林分结构和土壤多种变量，利用空间统计方法学，构建多变量之间的空间相关性。在样地尺度上，提取样地的植被盖度和林分结构，构建样地植被特征和遥感反演的统计模型。</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对于生态定位站点，需获取定期监测结果，采用人工进行固定样地调查，调查与沙区生态系统相关的指标，包括林分概况、植被群落特征、生产力、生物量、生物多样性等指标。</w:t>
      </w:r>
    </w:p>
    <w:p>
      <w:pPr>
        <w:pStyle w:val="5"/>
        <w:numPr>
          <w:ilvl w:val="0"/>
          <w:numId w:val="26"/>
        </w:numPr>
        <w:spacing w:before="156" w:beforeLines="50" w:after="156" w:afterLines="50" w:line="240" w:lineRule="auto"/>
        <w:ind w:left="0" w:firstLine="600" w:firstLineChars="200"/>
        <w:rPr>
          <w:rFonts w:eastAsia="仿宋_GB2312"/>
          <w:b w:val="0"/>
          <w:bCs w:val="0"/>
        </w:rPr>
      </w:pPr>
      <w:bookmarkStart w:id="194" w:name="_Toc130845616"/>
      <w:bookmarkStart w:id="195" w:name="_Toc130837963"/>
      <w:bookmarkStart w:id="196" w:name="_Toc130453190"/>
      <w:r>
        <w:rPr>
          <w:rFonts w:hint="eastAsia" w:eastAsia="仿宋_GB2312"/>
          <w:b w:val="0"/>
          <w:bCs w:val="0"/>
        </w:rPr>
        <w:t>问卷调查</w:t>
      </w:r>
      <w:bookmarkEnd w:id="194"/>
      <w:bookmarkEnd w:id="195"/>
      <w:bookmarkEnd w:id="196"/>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工程实施过程中每年采用随机抽样问卷调查、典型农户调查等方</w:t>
      </w:r>
      <w:r>
        <w:rPr>
          <w:rFonts w:ascii="Times New Roman" w:hAnsi="Times New Roman" w:eastAsia="仿宋_GB2312" w:cs="Times New Roman"/>
          <w:color w:val="000000" w:themeColor="text1"/>
          <w:sz w:val="30"/>
          <w:szCs w:val="30"/>
        </w:rPr>
        <w:t>法，调查了解群众对治理工程认识、经济变化情况、生态状况变化等。</w:t>
      </w:r>
      <w:r>
        <w:rPr>
          <w:rFonts w:hint="eastAsia" w:ascii="Times New Roman" w:hAnsi="Times New Roman" w:eastAsia="仿宋_GB2312" w:cs="Times New Roman"/>
          <w:color w:val="000000" w:themeColor="text1"/>
          <w:sz w:val="30"/>
          <w:szCs w:val="30"/>
        </w:rPr>
        <w:t>问卷调查</w:t>
      </w:r>
      <w:r>
        <w:rPr>
          <w:rFonts w:ascii="Times New Roman" w:hAnsi="Times New Roman" w:eastAsia="仿宋_GB2312" w:cs="Times New Roman"/>
          <w:color w:val="000000" w:themeColor="text1"/>
          <w:sz w:val="30"/>
          <w:szCs w:val="30"/>
        </w:rPr>
        <w:t>可与遥感监测和</w:t>
      </w:r>
      <w:r>
        <w:rPr>
          <w:rFonts w:hint="eastAsia" w:ascii="Times New Roman" w:hAnsi="Times New Roman" w:eastAsia="仿宋_GB2312" w:cs="Times New Roman"/>
          <w:color w:val="000000" w:themeColor="text1"/>
          <w:sz w:val="30"/>
          <w:szCs w:val="30"/>
        </w:rPr>
        <w:t>样地调查监测</w:t>
      </w:r>
      <w:r>
        <w:rPr>
          <w:rFonts w:ascii="Times New Roman" w:hAnsi="Times New Roman" w:eastAsia="仿宋_GB2312" w:cs="Times New Roman"/>
          <w:color w:val="000000" w:themeColor="text1"/>
          <w:sz w:val="30"/>
          <w:szCs w:val="30"/>
        </w:rPr>
        <w:t>相结合进行</w:t>
      </w:r>
      <w:r>
        <w:rPr>
          <w:rFonts w:hint="eastAsia" w:ascii="Times New Roman" w:hAnsi="Times New Roman" w:eastAsia="仿宋_GB2312" w:cs="Times New Roman"/>
          <w:color w:val="000000" w:themeColor="text1"/>
          <w:sz w:val="30"/>
          <w:szCs w:val="30"/>
        </w:rPr>
        <w:t>。</w:t>
      </w:r>
    </w:p>
    <w:p>
      <w:pPr>
        <w:spacing w:line="560" w:lineRule="exact"/>
        <w:ind w:firstLine="600" w:firstLineChars="200"/>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197" w:name="_Toc130845617"/>
      <w:r>
        <w:rPr>
          <w:rFonts w:hint="eastAsia" w:ascii="Times New Roman" w:hAnsi="Times New Roman" w:eastAsia="黑体" w:cs="Times New Roman"/>
          <w:b w:val="0"/>
          <w:bCs w:val="0"/>
          <w:sz w:val="36"/>
          <w:szCs w:val="36"/>
        </w:rPr>
        <w:t>绿色生态沙产业建设</w:t>
      </w:r>
      <w:bookmarkEnd w:id="197"/>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牢固树立和践行绿水青山就是金山银山的理念，遵循自然和经济规律，坚持治沙致富、增绿增收相结合，在保护好生态且水资源条件允许的基础上，利用光、热、土、生、景等资源，适度有序，结合绿美广东生态建设，因地制宜发展节水、低碳、环保型特色沙产业，促进生态改善、农民增收，助力脱贫成果巩固和乡村振兴。</w:t>
      </w:r>
    </w:p>
    <w:p>
      <w:pPr>
        <w:pStyle w:val="3"/>
        <w:numPr>
          <w:ilvl w:val="0"/>
          <w:numId w:val="27"/>
        </w:numPr>
        <w:spacing w:before="156" w:beforeLines="50" w:after="156" w:afterLines="50" w:line="276" w:lineRule="auto"/>
        <w:ind w:left="0" w:firstLine="640" w:firstLineChars="200"/>
        <w:rPr>
          <w:rFonts w:eastAsia="楷体"/>
          <w:b w:val="0"/>
          <w:bCs w:val="0"/>
          <w:sz w:val="32"/>
          <w:szCs w:val="32"/>
        </w:rPr>
      </w:pPr>
      <w:bookmarkStart w:id="198" w:name="_Toc130845618"/>
      <w:r>
        <w:rPr>
          <w:rFonts w:hint="eastAsia" w:eastAsia="楷体"/>
          <w:b w:val="0"/>
          <w:bCs w:val="0"/>
          <w:sz w:val="32"/>
          <w:szCs w:val="32"/>
        </w:rPr>
        <w:t>发展方向</w:t>
      </w:r>
      <w:bookmarkEnd w:id="198"/>
    </w:p>
    <w:p>
      <w:pPr>
        <w:pStyle w:val="5"/>
        <w:numPr>
          <w:ilvl w:val="0"/>
          <w:numId w:val="28"/>
        </w:numPr>
        <w:spacing w:before="156" w:beforeLines="50" w:after="156" w:afterLines="50" w:line="560" w:lineRule="exact"/>
        <w:ind w:left="0" w:firstLine="600" w:firstLineChars="200"/>
        <w:rPr>
          <w:rFonts w:eastAsia="仿宋_GB2312"/>
          <w:b w:val="0"/>
          <w:bCs w:val="0"/>
          <w:color w:val="000000" w:themeColor="text1"/>
        </w:rPr>
      </w:pPr>
      <w:bookmarkStart w:id="199" w:name="_Toc130845619"/>
      <w:r>
        <w:rPr>
          <w:rFonts w:hint="eastAsia" w:eastAsia="仿宋_GB2312"/>
          <w:b w:val="0"/>
          <w:bCs w:val="0"/>
        </w:rPr>
        <w:t>特色种植</w:t>
      </w:r>
      <w:bookmarkEnd w:id="199"/>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可将商品林中的低质低效桉树纯林、低质低效松树纯林，以及严重遭受病虫害危害的林分改造成适宜发展的特色经济林。</w:t>
      </w:r>
    </w:p>
    <w:p>
      <w:pPr>
        <w:pStyle w:val="5"/>
        <w:numPr>
          <w:ilvl w:val="0"/>
          <w:numId w:val="28"/>
        </w:numPr>
        <w:spacing w:before="156" w:beforeLines="50" w:after="156" w:afterLines="50" w:line="240" w:lineRule="auto"/>
        <w:ind w:left="0" w:firstLine="600" w:firstLineChars="200"/>
        <w:rPr>
          <w:rFonts w:eastAsia="仿宋_GB2312"/>
          <w:b w:val="0"/>
          <w:bCs w:val="0"/>
        </w:rPr>
      </w:pPr>
      <w:bookmarkStart w:id="200" w:name="_Toc130845620"/>
      <w:r>
        <w:rPr>
          <w:rFonts w:hint="eastAsia" w:eastAsia="仿宋_GB2312"/>
          <w:b w:val="0"/>
          <w:bCs w:val="0"/>
        </w:rPr>
        <w:t>林下经济</w:t>
      </w:r>
      <w:bookmarkEnd w:id="200"/>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以林下种植、林下养殖、相关产品精深加工等形式建设的，充分利用林地资源和林荫空间，产出绿色生态产品。主要包括林下种植和林下养殖。</w:t>
      </w:r>
    </w:p>
    <w:p>
      <w:pPr>
        <w:pStyle w:val="5"/>
        <w:numPr>
          <w:ilvl w:val="0"/>
          <w:numId w:val="28"/>
        </w:numPr>
        <w:spacing w:before="156" w:beforeLines="50" w:after="156" w:afterLines="50" w:line="240" w:lineRule="auto"/>
        <w:ind w:left="0" w:firstLine="600" w:firstLineChars="200"/>
        <w:rPr>
          <w:rFonts w:eastAsia="仿宋_GB2312"/>
          <w:b w:val="0"/>
          <w:bCs w:val="0"/>
        </w:rPr>
      </w:pPr>
      <w:bookmarkStart w:id="201" w:name="_Toc130453196"/>
      <w:bookmarkStart w:id="202" w:name="_Toc130837969"/>
      <w:bookmarkStart w:id="203" w:name="_Toc130845621"/>
      <w:r>
        <w:rPr>
          <w:rFonts w:hint="eastAsia" w:eastAsia="仿宋_GB2312"/>
          <w:b w:val="0"/>
          <w:bCs w:val="0"/>
        </w:rPr>
        <w:t>生态旅游业</w:t>
      </w:r>
      <w:bookmarkEnd w:id="201"/>
      <w:bookmarkEnd w:id="202"/>
      <w:bookmarkEnd w:id="203"/>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依托当地特色地质地貌，以及人文景观，适度发展集休闲避暑，旅游观光，康养度假等一体的滨海林草生态旅游区。</w:t>
      </w:r>
    </w:p>
    <w:p>
      <w:pPr>
        <w:pStyle w:val="3"/>
        <w:numPr>
          <w:ilvl w:val="0"/>
          <w:numId w:val="27"/>
        </w:numPr>
        <w:spacing w:before="156" w:beforeLines="50" w:after="156" w:afterLines="50" w:line="276" w:lineRule="auto"/>
        <w:ind w:left="0" w:firstLine="640" w:firstLineChars="200"/>
        <w:rPr>
          <w:rFonts w:eastAsia="楷体"/>
          <w:b w:val="0"/>
          <w:bCs w:val="0"/>
          <w:sz w:val="32"/>
          <w:szCs w:val="32"/>
        </w:rPr>
      </w:pPr>
      <w:bookmarkStart w:id="204" w:name="_Toc130845622"/>
      <w:r>
        <w:rPr>
          <w:rFonts w:hint="eastAsia" w:eastAsia="楷体"/>
          <w:b w:val="0"/>
          <w:bCs w:val="0"/>
          <w:sz w:val="32"/>
          <w:szCs w:val="32"/>
        </w:rPr>
        <w:t>重点推行林下经济</w:t>
      </w:r>
      <w:bookmarkEnd w:id="204"/>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林下种植是通过充分</w:t>
      </w:r>
      <w:r>
        <w:rPr>
          <w:rFonts w:ascii="Times New Roman" w:hAnsi="Times New Roman" w:eastAsia="仿宋_GB2312" w:cs="Times New Roman"/>
          <w:color w:val="000000" w:themeColor="text1"/>
          <w:sz w:val="30"/>
          <w:szCs w:val="30"/>
        </w:rPr>
        <w:t>利用丰富的林下资源发展种植业，因地制宜开发林果、林草、林花、林菌、林药等</w:t>
      </w:r>
      <w:r>
        <w:rPr>
          <w:rFonts w:hint="eastAsia" w:ascii="Times New Roman" w:hAnsi="Times New Roman" w:eastAsia="仿宋_GB2312" w:cs="Times New Roman"/>
          <w:color w:val="000000" w:themeColor="text1"/>
          <w:sz w:val="30"/>
          <w:szCs w:val="30"/>
        </w:rPr>
        <w:t>间作</w:t>
      </w:r>
      <w:r>
        <w:rPr>
          <w:rFonts w:ascii="Times New Roman" w:hAnsi="Times New Roman" w:eastAsia="仿宋_GB2312" w:cs="Times New Roman"/>
          <w:color w:val="000000" w:themeColor="text1"/>
          <w:sz w:val="30"/>
          <w:szCs w:val="30"/>
        </w:rPr>
        <w:t>模式，在林下种植耐阴性的花卉</w:t>
      </w:r>
      <w:r>
        <w:rPr>
          <w:rFonts w:hint="eastAsia" w:ascii="Times New Roman" w:hAnsi="Times New Roman" w:eastAsia="仿宋_GB2312" w:cs="Times New Roman"/>
          <w:sz w:val="30"/>
          <w:szCs w:val="30"/>
        </w:rPr>
        <w:t>、中</w:t>
      </w:r>
      <w:r>
        <w:rPr>
          <w:rFonts w:ascii="Times New Roman" w:hAnsi="Times New Roman" w:eastAsia="仿宋_GB2312" w:cs="Times New Roman"/>
          <w:color w:val="000000" w:themeColor="text1"/>
          <w:sz w:val="30"/>
          <w:szCs w:val="30"/>
        </w:rPr>
        <w:t>药材等低矮植物。林下养殖是通过充分利用林下空间发展立体养殖，大力发展林禽、林畜、林蜂等模式。通过林下种植和养殖，既可有效保护沿海沙岸防护林等重要区位的沙化土地，又可增加沙化地区人们收入。</w:t>
      </w:r>
    </w:p>
    <w:p>
      <w:pPr>
        <w:pStyle w:val="3"/>
        <w:numPr>
          <w:ilvl w:val="0"/>
          <w:numId w:val="27"/>
        </w:numPr>
        <w:spacing w:before="156" w:beforeLines="50" w:after="156" w:afterLines="50" w:line="276" w:lineRule="auto"/>
        <w:ind w:left="0" w:firstLine="640" w:firstLineChars="200"/>
        <w:rPr>
          <w:rFonts w:eastAsia="楷体"/>
          <w:b w:val="0"/>
          <w:bCs w:val="0"/>
          <w:sz w:val="32"/>
          <w:szCs w:val="32"/>
        </w:rPr>
      </w:pPr>
      <w:bookmarkStart w:id="205" w:name="_Toc130845623"/>
      <w:r>
        <w:rPr>
          <w:rFonts w:hint="eastAsia" w:eastAsia="楷体"/>
          <w:b w:val="0"/>
          <w:bCs w:val="0"/>
          <w:sz w:val="32"/>
          <w:szCs w:val="32"/>
        </w:rPr>
        <w:t>适度发展滨海旅游项目</w:t>
      </w:r>
      <w:bookmarkEnd w:id="205"/>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在保护好生态的基础上，适度发展滨海生态旅游，满足人们日益增长的优美生态环境需要，促进区域经济社会发展，提高公众防沙治沙和生态保护意识。重点在未利用的沙滩地上开展，切实保护好景观的原真性、完整性，维护生态系统生态功能和生物多样性。</w:t>
      </w:r>
    </w:p>
    <w:p>
      <w:pPr>
        <w:pStyle w:val="3"/>
        <w:numPr>
          <w:ilvl w:val="0"/>
          <w:numId w:val="27"/>
        </w:numPr>
        <w:spacing w:before="156" w:beforeLines="50" w:after="156" w:afterLines="50" w:line="276" w:lineRule="auto"/>
        <w:ind w:left="0" w:firstLine="640" w:firstLineChars="200"/>
        <w:rPr>
          <w:rFonts w:eastAsia="楷体"/>
          <w:b w:val="0"/>
          <w:bCs w:val="0"/>
          <w:sz w:val="32"/>
          <w:szCs w:val="32"/>
        </w:rPr>
      </w:pPr>
      <w:bookmarkStart w:id="206" w:name="_Toc130845624"/>
      <w:r>
        <w:rPr>
          <w:rFonts w:hint="eastAsia" w:eastAsia="楷体"/>
          <w:b w:val="0"/>
          <w:bCs w:val="0"/>
          <w:sz w:val="32"/>
          <w:szCs w:val="32"/>
        </w:rPr>
        <w:t>用地保障</w:t>
      </w:r>
      <w:bookmarkEnd w:id="206"/>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各级政府要按照生态优先、因害设防、因地制宜的原则，统筹协调林业、农业、水利等部门的相关用地规划，将台风频发、水土流失和风沙危害严重的区域优先规划为防沙治沙用地。</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各级林业主管部门要积极挖掘用地潜力，完善相关用地政策，按照因地制宜的原则深入推进，统筹协调用地规划，解决工程建设用地问题。</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各地要深入基层，充分开展调查摸底，加强与林权所有者沟通，商议产业发展实施方案。不断深化集体林权制度改革，支持工商企业等社会资本通过流转取得林地经营权，开展林业产业经营活动，促进集体林地集约规模经营。</w:t>
      </w:r>
    </w:p>
    <w:p>
      <w:pPr>
        <w:spacing w:line="560" w:lineRule="exact"/>
        <w:ind w:firstLine="600" w:firstLineChars="200"/>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2"/>
        <w:numPr>
          <w:ilvl w:val="0"/>
          <w:numId w:val="6"/>
        </w:numPr>
        <w:spacing w:before="100" w:beforeAutospacing="1" w:after="100" w:afterAutospacing="1" w:line="360" w:lineRule="auto"/>
        <w:ind w:left="0" w:firstLine="0"/>
        <w:jc w:val="center"/>
        <w:rPr>
          <w:rFonts w:ascii="Times New Roman" w:hAnsi="Times New Roman" w:eastAsia="黑体" w:cs="Times New Roman"/>
          <w:b w:val="0"/>
          <w:bCs w:val="0"/>
          <w:sz w:val="36"/>
          <w:szCs w:val="36"/>
        </w:rPr>
      </w:pPr>
      <w:bookmarkStart w:id="207" w:name="_Toc130845625"/>
      <w:r>
        <w:rPr>
          <w:rFonts w:hint="eastAsia" w:ascii="Times New Roman" w:hAnsi="Times New Roman" w:eastAsia="黑体" w:cs="Times New Roman"/>
          <w:b w:val="0"/>
          <w:bCs w:val="0"/>
          <w:sz w:val="36"/>
          <w:szCs w:val="36"/>
        </w:rPr>
        <w:t>健全规划实施保障</w:t>
      </w:r>
      <w:bookmarkEnd w:id="207"/>
      <w:r>
        <w:rPr>
          <w:rFonts w:hint="eastAsia" w:ascii="Times New Roman" w:hAnsi="Times New Roman" w:eastAsia="黑体" w:cs="Times New Roman"/>
          <w:b w:val="0"/>
          <w:bCs w:val="0"/>
          <w:sz w:val="36"/>
          <w:szCs w:val="36"/>
        </w:rPr>
        <w:t>机制</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加强组织管理，强化依法治沙，强化监督监管，营造良好氛围，稳步推进防沙治沙高质量发展。</w:t>
      </w:r>
    </w:p>
    <w:p>
      <w:pPr>
        <w:pStyle w:val="3"/>
        <w:numPr>
          <w:ilvl w:val="0"/>
          <w:numId w:val="29"/>
        </w:numPr>
        <w:spacing w:before="156" w:beforeLines="50" w:after="156" w:afterLines="50" w:line="276" w:lineRule="auto"/>
        <w:ind w:left="0" w:firstLine="640" w:firstLineChars="200"/>
        <w:rPr>
          <w:rFonts w:eastAsia="楷体"/>
          <w:b w:val="0"/>
          <w:bCs w:val="0"/>
          <w:sz w:val="32"/>
          <w:szCs w:val="32"/>
        </w:rPr>
      </w:pPr>
      <w:bookmarkStart w:id="208" w:name="_Toc130845626"/>
      <w:r>
        <w:rPr>
          <w:rFonts w:hint="eastAsia" w:eastAsia="楷体"/>
          <w:b w:val="0"/>
          <w:bCs w:val="0"/>
          <w:sz w:val="32"/>
          <w:szCs w:val="32"/>
        </w:rPr>
        <w:t>加强</w:t>
      </w:r>
      <w:r>
        <w:rPr>
          <w:rFonts w:eastAsia="楷体"/>
          <w:b w:val="0"/>
          <w:bCs w:val="0"/>
          <w:sz w:val="32"/>
          <w:szCs w:val="32"/>
        </w:rPr>
        <w:t>组织</w:t>
      </w:r>
      <w:r>
        <w:rPr>
          <w:rFonts w:hint="eastAsia" w:eastAsia="楷体"/>
          <w:b w:val="0"/>
          <w:bCs w:val="0"/>
          <w:sz w:val="32"/>
          <w:szCs w:val="32"/>
        </w:rPr>
        <w:t>管理，落实目标责任</w:t>
      </w:r>
      <w:bookmarkEnd w:id="208"/>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加强组织领导。由林业部门作为牵头单位，负责组织、协调、指导防沙治沙工作，发展和改革、财政、自然资源、生态环境、水利、农业农村等部门，按照职能分工，相互配合，协同推进系统治理项目，确保防沙治沙取得成效。另外，各级政府要加强防沙治沙管理机构和队伍建设，确保防沙治沙工作顺利实施。</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落实目标责任。沙化地区各级政府应将防沙治沙规划纳入当地国民经济和社会发展规划，对本行政区域的防沙治沙工作负总责，全面推行防沙治沙目标责任考核和林长制督查考核，将防沙治沙任务层层分解，逐级落实，严格考核，严明奖惩，一旦发现土地发生沙化或沙化</w:t>
      </w:r>
      <w:r>
        <w:rPr>
          <w:rFonts w:ascii="Times New Roman" w:hAnsi="Times New Roman" w:eastAsia="仿宋_GB2312" w:cs="Times New Roman"/>
          <w:color w:val="000000" w:themeColor="text1"/>
          <w:sz w:val="30"/>
          <w:szCs w:val="30"/>
        </w:rPr>
        <w:t>程度加重的，林草主管部门要及时报告</w:t>
      </w:r>
      <w:r>
        <w:rPr>
          <w:rFonts w:hint="eastAsia" w:ascii="Times New Roman" w:hAnsi="Times New Roman" w:eastAsia="仿宋_GB2312" w:cs="Times New Roman"/>
          <w:color w:val="000000" w:themeColor="text1"/>
          <w:sz w:val="30"/>
          <w:szCs w:val="30"/>
        </w:rPr>
        <w:t>并</w:t>
      </w:r>
      <w:r>
        <w:rPr>
          <w:rFonts w:ascii="Times New Roman" w:hAnsi="Times New Roman" w:eastAsia="仿宋_GB2312" w:cs="Times New Roman"/>
          <w:color w:val="000000" w:themeColor="text1"/>
          <w:sz w:val="30"/>
          <w:szCs w:val="30"/>
        </w:rPr>
        <w:t>依法制止导致土地沙化的行为</w:t>
      </w:r>
      <w:r>
        <w:rPr>
          <w:rFonts w:hint="eastAsia" w:ascii="Times New Roman" w:hAnsi="Times New Roman" w:eastAsia="仿宋_GB2312" w:cs="Times New Roman"/>
          <w:color w:val="000000" w:themeColor="text1"/>
          <w:sz w:val="30"/>
          <w:szCs w:val="30"/>
        </w:rPr>
        <w:t>。</w:t>
      </w:r>
    </w:p>
    <w:p>
      <w:pPr>
        <w:pStyle w:val="3"/>
        <w:numPr>
          <w:ilvl w:val="0"/>
          <w:numId w:val="29"/>
        </w:numPr>
        <w:spacing w:before="156" w:beforeLines="50" w:after="156" w:afterLines="50" w:line="276" w:lineRule="auto"/>
        <w:ind w:left="0" w:firstLine="640" w:firstLineChars="200"/>
        <w:rPr>
          <w:rFonts w:eastAsia="楷体"/>
          <w:b w:val="0"/>
          <w:bCs w:val="0"/>
          <w:sz w:val="32"/>
          <w:szCs w:val="32"/>
        </w:rPr>
      </w:pPr>
      <w:bookmarkStart w:id="209" w:name="_Toc130845627"/>
      <w:r>
        <w:rPr>
          <w:rFonts w:hint="eastAsia" w:eastAsia="楷体"/>
          <w:b w:val="0"/>
          <w:bCs w:val="0"/>
          <w:sz w:val="32"/>
          <w:szCs w:val="32"/>
        </w:rPr>
        <w:t>严格依法治沙，</w:t>
      </w:r>
      <w:bookmarkEnd w:id="209"/>
      <w:r>
        <w:rPr>
          <w:rFonts w:hint="eastAsia" w:eastAsia="楷体"/>
          <w:b w:val="0"/>
          <w:bCs w:val="0"/>
          <w:sz w:val="32"/>
          <w:szCs w:val="32"/>
        </w:rPr>
        <w:t>落实国家部署</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加大执法和监管力度，严格执行《中华人民共和国森林法》、《中华人民共和国防沙治沙法》等与沿海沙区防沙治沙相关的法律法规，加强执法宣传、培训，加强监管，依法严厉打击乱砍滥伐、滥采滥挖、乱征滥占等破坏沙化土地植被的违法行为。</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贯彻落实国家总体规划任务，加强沿海防护林带保护，巩固建设成果，因害设防，提升生态防护功能。科学适度利用特色沙地资源，发展生态沙产业。</w:t>
      </w:r>
    </w:p>
    <w:p>
      <w:pPr>
        <w:pStyle w:val="3"/>
        <w:numPr>
          <w:ilvl w:val="0"/>
          <w:numId w:val="29"/>
        </w:numPr>
        <w:spacing w:before="156" w:beforeLines="50" w:after="156" w:afterLines="50" w:line="276" w:lineRule="auto"/>
        <w:ind w:left="0" w:firstLine="640" w:firstLineChars="200"/>
        <w:rPr>
          <w:rFonts w:eastAsia="楷体"/>
          <w:b w:val="0"/>
          <w:bCs w:val="0"/>
          <w:sz w:val="32"/>
          <w:szCs w:val="32"/>
        </w:rPr>
      </w:pPr>
      <w:bookmarkStart w:id="210" w:name="_Toc130845628"/>
      <w:r>
        <w:rPr>
          <w:rFonts w:hint="eastAsia" w:eastAsia="楷体"/>
          <w:b w:val="0"/>
          <w:bCs w:val="0"/>
          <w:sz w:val="32"/>
          <w:szCs w:val="32"/>
        </w:rPr>
        <w:t>整合资金渠道，加强规范管理</w:t>
      </w:r>
      <w:bookmarkEnd w:id="210"/>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整合现有财政资金渠道，发挥综合治理修复任务与绿美广东生态建设任务协同联动的特点，积极争取中央资金支持。同时，通过先造后补、森林质量精准提升以及利用采伐指标调控，多渠道引导社会资本投入。发挥林权金融功能，积极探索设立林权收储机构，开展林权收储担保业务。</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加强管理，规范使用。认真贯彻执行国家和省林业资金使用管理的各项规定，按照有关要求办理资金拨付手续，提高资金使用效率，确保规划任务按期实施。</w:t>
      </w:r>
    </w:p>
    <w:p>
      <w:pPr>
        <w:pStyle w:val="3"/>
        <w:numPr>
          <w:ilvl w:val="0"/>
          <w:numId w:val="29"/>
        </w:numPr>
        <w:spacing w:before="156" w:beforeLines="50" w:after="156" w:afterLines="50" w:line="276" w:lineRule="auto"/>
        <w:ind w:left="0" w:firstLine="640" w:firstLineChars="200"/>
        <w:rPr>
          <w:rFonts w:eastAsia="楷体"/>
          <w:b w:val="0"/>
          <w:bCs w:val="0"/>
          <w:sz w:val="32"/>
          <w:szCs w:val="32"/>
        </w:rPr>
      </w:pPr>
      <w:bookmarkStart w:id="211" w:name="_Toc130845629"/>
      <w:r>
        <w:rPr>
          <w:rFonts w:hint="eastAsia" w:eastAsia="楷体"/>
          <w:b w:val="0"/>
          <w:bCs w:val="0"/>
          <w:sz w:val="32"/>
          <w:szCs w:val="32"/>
        </w:rPr>
        <w:t>强化科技支撑，推进技术升级</w:t>
      </w:r>
      <w:bookmarkEnd w:id="211"/>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加</w:t>
      </w:r>
      <w:r>
        <w:rPr>
          <w:rFonts w:ascii="Times New Roman" w:hAnsi="Times New Roman" w:eastAsia="仿宋_GB2312" w:cs="Times New Roman"/>
          <w:color w:val="000000" w:themeColor="text1"/>
          <w:sz w:val="30"/>
          <w:szCs w:val="30"/>
        </w:rPr>
        <w:t>强基础科学和应用技术研究，</w:t>
      </w:r>
      <w:r>
        <w:rPr>
          <w:rFonts w:hint="eastAsia" w:ascii="Times New Roman" w:hAnsi="Times New Roman" w:eastAsia="仿宋_GB2312" w:cs="Times New Roman"/>
          <w:color w:val="000000" w:themeColor="text1"/>
          <w:sz w:val="30"/>
          <w:szCs w:val="30"/>
        </w:rPr>
        <w:t>针对工程建设中存在的关键性技术难题组织科研攻关，研究分析沙区植被</w:t>
      </w:r>
      <w:r>
        <w:rPr>
          <w:rFonts w:ascii="Times New Roman" w:hAnsi="Times New Roman" w:eastAsia="仿宋_GB2312" w:cs="Times New Roman"/>
          <w:color w:val="000000" w:themeColor="text1"/>
          <w:sz w:val="30"/>
          <w:szCs w:val="30"/>
        </w:rPr>
        <w:t>与</w:t>
      </w:r>
      <w:r>
        <w:rPr>
          <w:rFonts w:hint="eastAsia" w:ascii="Times New Roman" w:hAnsi="Times New Roman" w:eastAsia="仿宋_GB2312" w:cs="Times New Roman"/>
          <w:color w:val="000000" w:themeColor="text1"/>
          <w:sz w:val="30"/>
          <w:szCs w:val="30"/>
        </w:rPr>
        <w:t>沙区灾害</w:t>
      </w:r>
      <w:r>
        <w:rPr>
          <w:rFonts w:ascii="Times New Roman" w:hAnsi="Times New Roman" w:eastAsia="仿宋_GB2312" w:cs="Times New Roman"/>
          <w:color w:val="000000" w:themeColor="text1"/>
          <w:sz w:val="30"/>
          <w:szCs w:val="30"/>
        </w:rPr>
        <w:t>相关性，为因害设防、科学开展</w:t>
      </w:r>
      <w:r>
        <w:rPr>
          <w:rFonts w:hint="eastAsia" w:ascii="Times New Roman" w:hAnsi="Times New Roman" w:eastAsia="仿宋_GB2312" w:cs="Times New Roman"/>
          <w:color w:val="000000" w:themeColor="text1"/>
          <w:sz w:val="30"/>
          <w:szCs w:val="30"/>
        </w:rPr>
        <w:t>沙化</w:t>
      </w:r>
      <w:r>
        <w:rPr>
          <w:rFonts w:ascii="Times New Roman" w:hAnsi="Times New Roman" w:eastAsia="仿宋_GB2312" w:cs="Times New Roman"/>
          <w:color w:val="000000" w:themeColor="text1"/>
          <w:sz w:val="30"/>
          <w:szCs w:val="30"/>
        </w:rPr>
        <w:t>防治</w:t>
      </w:r>
      <w:r>
        <w:rPr>
          <w:rFonts w:hint="eastAsia" w:ascii="Times New Roman" w:hAnsi="Times New Roman" w:eastAsia="仿宋_GB2312" w:cs="Times New Roman"/>
          <w:color w:val="000000" w:themeColor="text1"/>
          <w:sz w:val="30"/>
          <w:szCs w:val="30"/>
        </w:rPr>
        <w:t>工作</w:t>
      </w:r>
      <w:r>
        <w:rPr>
          <w:rFonts w:ascii="Times New Roman" w:hAnsi="Times New Roman" w:eastAsia="仿宋_GB2312" w:cs="Times New Roman"/>
          <w:color w:val="000000" w:themeColor="text1"/>
          <w:sz w:val="30"/>
          <w:szCs w:val="30"/>
        </w:rPr>
        <w:t>提供决策依据</w:t>
      </w:r>
      <w:r>
        <w:rPr>
          <w:rFonts w:hint="eastAsia" w:ascii="Times New Roman" w:hAnsi="Times New Roman" w:eastAsia="仿宋_GB2312" w:cs="Times New Roman"/>
          <w:color w:val="000000" w:themeColor="text1"/>
          <w:sz w:val="30"/>
          <w:szCs w:val="30"/>
        </w:rPr>
        <w:t>。</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依托国土空间规划“一张图”实施监督信息系统，应用</w:t>
      </w:r>
      <w:r>
        <w:rPr>
          <w:rFonts w:ascii="Times New Roman" w:hAnsi="Times New Roman" w:eastAsia="仿宋_GB2312" w:cs="Times New Roman"/>
          <w:color w:val="000000" w:themeColor="text1"/>
          <w:sz w:val="30"/>
          <w:szCs w:val="30"/>
        </w:rPr>
        <w:t>林草生态网络感知系统和林草生态综合监测评价成果，推进防沙治沙空间和任务落地上图工作，整合规划设计、作业施工、检查验收、效益评估等数据，提升工程项目管理水平。</w:t>
      </w:r>
      <w:r>
        <w:rPr>
          <w:rFonts w:hint="eastAsia" w:ascii="Times New Roman" w:hAnsi="Times New Roman" w:eastAsia="仿宋_GB2312" w:cs="Times New Roman"/>
          <w:color w:val="000000" w:themeColor="text1"/>
          <w:sz w:val="30"/>
          <w:szCs w:val="30"/>
        </w:rPr>
        <w:t>通过宏观调查监测、年度趋势监测和工程成效评估，不断完善沙化调查监测体系，提高监测时效，促进监测数据共享使用。</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sz w:val="30"/>
          <w:szCs w:val="30"/>
        </w:rPr>
        <w:t>系统总结防沙治沙适用技术和治理模式，引进、培育适宜不同类型沙化土地生长的抗逆性的植物良种，加快防沙治沙科研成果的应用，提高防沙治沙科技含量。</w:t>
      </w:r>
    </w:p>
    <w:p>
      <w:pPr>
        <w:pStyle w:val="3"/>
        <w:numPr>
          <w:ilvl w:val="0"/>
          <w:numId w:val="29"/>
        </w:numPr>
        <w:spacing w:before="156" w:beforeLines="50" w:after="156" w:afterLines="50" w:line="276" w:lineRule="auto"/>
        <w:ind w:left="0" w:firstLine="640" w:firstLineChars="200"/>
        <w:rPr>
          <w:rFonts w:eastAsia="楷体"/>
          <w:b w:val="0"/>
          <w:bCs w:val="0"/>
          <w:sz w:val="32"/>
          <w:szCs w:val="32"/>
        </w:rPr>
      </w:pPr>
      <w:bookmarkStart w:id="212" w:name="_Toc130845630"/>
      <w:r>
        <w:rPr>
          <w:rFonts w:hint="eastAsia" w:eastAsia="楷体"/>
          <w:b w:val="0"/>
          <w:bCs w:val="0"/>
          <w:sz w:val="32"/>
          <w:szCs w:val="32"/>
        </w:rPr>
        <w:t>加强宣传教育，营造良好氛围</w:t>
      </w:r>
      <w:bookmarkEnd w:id="212"/>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充分利用传统媒体和新媒体，大力宣传广东省防沙治沙取</w:t>
      </w:r>
      <w:r>
        <w:rPr>
          <w:rFonts w:ascii="Times New Roman" w:hAnsi="Times New Roman" w:eastAsia="仿宋_GB2312" w:cs="Times New Roman"/>
          <w:color w:val="000000" w:themeColor="text1"/>
          <w:sz w:val="30"/>
          <w:szCs w:val="30"/>
        </w:rPr>
        <w:t>得的成就、面临的形势、在生态文明建设中的地位和作用等，引导全社会参与防沙治沙，营造全民参与、全民共享、全民受益的浓厚氛围。利用植树节、防灾减灾日、世界防治荒漠化与干旱日等重要节点，加强防沙治沙科普宣传，提高公众科学防治和生态保护意识。加强和提升信息公开、新闻发布、政策解读、舆论引导工作。树立和宣传防沙治沙先进人物典型，弘扬迎难而上、艰苦奋斗、久久为功的精神，发挥榜样的激励、带动作用，激发</w:t>
      </w:r>
      <w:r>
        <w:rPr>
          <w:rFonts w:hint="eastAsia" w:ascii="Times New Roman" w:hAnsi="Times New Roman" w:eastAsia="仿宋_GB2312" w:cs="Times New Roman"/>
          <w:color w:val="000000" w:themeColor="text1"/>
          <w:sz w:val="30"/>
          <w:szCs w:val="30"/>
        </w:rPr>
        <w:t>全省</w:t>
      </w:r>
      <w:r>
        <w:rPr>
          <w:rFonts w:ascii="Times New Roman" w:hAnsi="Times New Roman" w:eastAsia="仿宋_GB2312" w:cs="Times New Roman"/>
          <w:color w:val="000000" w:themeColor="text1"/>
          <w:sz w:val="30"/>
          <w:szCs w:val="30"/>
        </w:rPr>
        <w:t>防沙治沙事业发展的内生动力。</w:t>
      </w:r>
    </w:p>
    <w:p>
      <w:pPr>
        <w:spacing w:line="560" w:lineRule="exact"/>
        <w:ind w:firstLine="600" w:firstLineChars="200"/>
        <w:rPr>
          <w:rFonts w:ascii="Times New Roman" w:hAnsi="Times New Roman" w:eastAsia="仿宋_GB2312" w:cs="Times New Roman"/>
          <w:color w:val="000000" w:themeColor="text1"/>
          <w:sz w:val="30"/>
          <w:szCs w:val="30"/>
        </w:rPr>
        <w:sectPr>
          <w:footerReference r:id="rId6" w:type="default"/>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广东省防沙治沙规划范围表</w:t>
      </w:r>
    </w:p>
    <w:tbl>
      <w:tblPr>
        <w:tblStyle w:val="26"/>
        <w:tblW w:w="5289" w:type="pct"/>
        <w:jc w:val="center"/>
        <w:tblLayout w:type="autofit"/>
        <w:tblCellMar>
          <w:top w:w="0" w:type="dxa"/>
          <w:left w:w="108" w:type="dxa"/>
          <w:bottom w:w="0" w:type="dxa"/>
          <w:right w:w="108" w:type="dxa"/>
        </w:tblCellMar>
      </w:tblPr>
      <w:tblGrid>
        <w:gridCol w:w="867"/>
        <w:gridCol w:w="1071"/>
        <w:gridCol w:w="1075"/>
        <w:gridCol w:w="849"/>
        <w:gridCol w:w="638"/>
        <w:gridCol w:w="2672"/>
        <w:gridCol w:w="1843"/>
      </w:tblGrid>
      <w:tr>
        <w:tblPrEx>
          <w:tblCellMar>
            <w:top w:w="0" w:type="dxa"/>
            <w:left w:w="108" w:type="dxa"/>
            <w:bottom w:w="0" w:type="dxa"/>
            <w:right w:w="108" w:type="dxa"/>
          </w:tblCellMar>
        </w:tblPrEx>
        <w:trPr>
          <w:trHeight w:val="637"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类型区</w:t>
            </w:r>
          </w:p>
        </w:tc>
        <w:tc>
          <w:tcPr>
            <w:tcW w:w="59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类型亚区</w:t>
            </w:r>
          </w:p>
        </w:tc>
        <w:tc>
          <w:tcPr>
            <w:tcW w:w="59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布局分区</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地级市</w:t>
            </w:r>
          </w:p>
        </w:tc>
        <w:tc>
          <w:tcPr>
            <w:tcW w:w="35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数量</w:t>
            </w:r>
          </w:p>
        </w:tc>
        <w:tc>
          <w:tcPr>
            <w:tcW w:w="148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县（市、区、场）名称</w:t>
            </w:r>
          </w:p>
        </w:tc>
        <w:tc>
          <w:tcPr>
            <w:tcW w:w="102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b/>
                <w:bCs/>
                <w:kern w:val="0"/>
                <w:szCs w:val="21"/>
              </w:rPr>
            </w:pPr>
            <w:r>
              <w:rPr>
                <w:rFonts w:ascii="Times New Roman" w:hAnsi="Times New Roman" w:eastAsia="仿宋_GB2312" w:cs="Times New Roman"/>
                <w:b/>
                <w:bCs/>
                <w:kern w:val="0"/>
                <w:szCs w:val="21"/>
              </w:rPr>
              <w:t>主要防治措施</w:t>
            </w:r>
          </w:p>
        </w:tc>
      </w:tr>
      <w:tr>
        <w:tblPrEx>
          <w:tblCellMar>
            <w:top w:w="0" w:type="dxa"/>
            <w:left w:w="108" w:type="dxa"/>
            <w:bottom w:w="0" w:type="dxa"/>
            <w:right w:w="108" w:type="dxa"/>
          </w:tblCellMar>
        </w:tblPrEx>
        <w:trPr>
          <w:trHeight w:val="561" w:hRule="atLeast"/>
          <w:jc w:val="center"/>
        </w:trPr>
        <w:tc>
          <w:tcPr>
            <w:tcW w:w="481" w:type="pct"/>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沿海沿江湿润沙化土地类型区</w:t>
            </w:r>
          </w:p>
        </w:tc>
        <w:tc>
          <w:tcPr>
            <w:tcW w:w="594" w:type="pct"/>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海岸带沙地综合治理区</w:t>
            </w:r>
          </w:p>
        </w:tc>
        <w:tc>
          <w:tcPr>
            <w:tcW w:w="596" w:type="pct"/>
            <w:vMerge w:val="restart"/>
            <w:tcBorders>
              <w:top w:val="nil"/>
              <w:left w:val="single" w:color="auto" w:sz="4" w:space="0"/>
              <w:bottom w:val="single" w:color="000000" w:sz="4" w:space="0"/>
              <w:right w:val="single" w:color="auto" w:sz="4" w:space="0"/>
            </w:tcBorders>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粤东沿海沙化土地综合防治区</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潮州市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饶平县</w:t>
            </w:r>
          </w:p>
        </w:tc>
        <w:tc>
          <w:tcPr>
            <w:tcW w:w="1022" w:type="pct"/>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加强沿海防护林带保护，制止滥采乱挖，切实巩固建设成果；对于滨海前沿风口，因害设防，采取工程、生物措施，加强防风固沙林、护岸林和水土保持林建设；加强森林抚育、更新改造，提升生态防护功能；适度利用特色沙地资源，开展绿化、美化，发展生态旅游。</w:t>
            </w:r>
          </w:p>
        </w:tc>
      </w:tr>
      <w:tr>
        <w:tblPrEx>
          <w:tblCellMar>
            <w:top w:w="0" w:type="dxa"/>
            <w:left w:w="108" w:type="dxa"/>
            <w:bottom w:w="0" w:type="dxa"/>
            <w:right w:w="108" w:type="dxa"/>
          </w:tblCellMar>
        </w:tblPrEx>
        <w:trPr>
          <w:trHeight w:val="790"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汕头市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龙湖区、濠江区、南澳县、潮阳区、澄海区、潮南区</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492"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揭阳市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惠来县</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556"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汕尾市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汕尾城区、海丰县、陆丰市</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622"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惠州市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惠东县</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560"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restart"/>
            <w:tcBorders>
              <w:top w:val="nil"/>
              <w:left w:val="single" w:color="auto" w:sz="4" w:space="0"/>
              <w:bottom w:val="single" w:color="000000" w:sz="4" w:space="0"/>
              <w:right w:val="single" w:color="auto" w:sz="4" w:space="0"/>
            </w:tcBorders>
            <w:shd w:val="clear" w:color="auto" w:fill="auto"/>
            <w:vAlign w:val="center"/>
          </w:tcPr>
          <w:p>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粤西沿海沙化土地综合防治区</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江门市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台山市</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568"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阳江市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3</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江城区、阳西县、阳东区</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548"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茂名市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1</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电白县</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r>
        <w:tblPrEx>
          <w:tblCellMar>
            <w:top w:w="0" w:type="dxa"/>
            <w:left w:w="108" w:type="dxa"/>
            <w:bottom w:w="0" w:type="dxa"/>
            <w:right w:w="108" w:type="dxa"/>
          </w:tblCellMar>
        </w:tblPrEx>
        <w:trPr>
          <w:trHeight w:val="570" w:hRule="atLeast"/>
          <w:jc w:val="center"/>
        </w:trPr>
        <w:tc>
          <w:tcPr>
            <w:tcW w:w="481"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596" w:type="pct"/>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湛江市</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s="Times New Roman"/>
                <w:kern w:val="0"/>
                <w:szCs w:val="21"/>
              </w:rPr>
            </w:pPr>
            <w:r>
              <w:rPr>
                <w:rFonts w:ascii="Times New Roman" w:hAnsi="Times New Roman" w:eastAsia="仿宋_GB2312" w:cs="Times New Roman"/>
                <w:kern w:val="0"/>
                <w:szCs w:val="21"/>
              </w:rPr>
              <w:t>6</w:t>
            </w:r>
          </w:p>
        </w:tc>
        <w:tc>
          <w:tcPr>
            <w:tcW w:w="1482"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kern w:val="0"/>
                <w:szCs w:val="21"/>
              </w:rPr>
            </w:pPr>
            <w:r>
              <w:rPr>
                <w:rFonts w:ascii="Times New Roman" w:hAnsi="Times New Roman" w:eastAsia="仿宋_GB2312" w:cs="Times New Roman"/>
                <w:kern w:val="0"/>
                <w:szCs w:val="21"/>
              </w:rPr>
              <w:t>坡头区、麻章区、遂溪县、徐闻县、雷州市、吴川市</w:t>
            </w:r>
          </w:p>
        </w:tc>
        <w:tc>
          <w:tcPr>
            <w:tcW w:w="1022"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Cs w:val="21"/>
              </w:rPr>
            </w:pPr>
          </w:p>
        </w:tc>
      </w:tr>
    </w:tbl>
    <w:p/>
    <w:p>
      <w:pPr>
        <w:spacing w:line="560" w:lineRule="exact"/>
        <w:rPr>
          <w:rFonts w:ascii="Times New Roman" w:hAnsi="Times New Roman" w:eastAsia="仿宋_GB2312" w:cs="Times New Roman"/>
          <w:color w:val="000000" w:themeColor="text1"/>
          <w:sz w:val="30"/>
          <w:szCs w:val="30"/>
        </w:rPr>
        <w:sectPr>
          <w:footerReference r:id="rId7" w:type="default"/>
          <w:pgSz w:w="11906" w:h="16838"/>
          <w:pgMar w:top="1440" w:right="1800" w:bottom="1440" w:left="1800" w:header="851" w:footer="992" w:gutter="0"/>
          <w:pgNumType w:start="1"/>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广东省沙化土地按沙化程度面积统计表</w:t>
      </w:r>
    </w:p>
    <w:p>
      <w:pPr>
        <w:jc w:val="right"/>
        <w:rPr>
          <w:rFonts w:ascii="仿宋_GB2312" w:eastAsia="仿宋_GB2312"/>
        </w:rPr>
      </w:pPr>
      <w:r>
        <w:rPr>
          <w:rFonts w:hint="eastAsia" w:ascii="仿宋_GB2312" w:eastAsia="仿宋_GB2312"/>
        </w:rPr>
        <w:t>单位：公顷</w:t>
      </w:r>
    </w:p>
    <w:tbl>
      <w:tblPr>
        <w:tblStyle w:val="26"/>
        <w:tblW w:w="14174" w:type="dxa"/>
        <w:tblInd w:w="0" w:type="dxa"/>
        <w:tblLayout w:type="fixed"/>
        <w:tblCellMar>
          <w:top w:w="0" w:type="dxa"/>
          <w:left w:w="108" w:type="dxa"/>
          <w:bottom w:w="0" w:type="dxa"/>
          <w:right w:w="108" w:type="dxa"/>
        </w:tblCellMar>
      </w:tblPr>
      <w:tblGrid>
        <w:gridCol w:w="1147"/>
        <w:gridCol w:w="939"/>
        <w:gridCol w:w="1094"/>
        <w:gridCol w:w="1534"/>
        <w:gridCol w:w="802"/>
        <w:gridCol w:w="1534"/>
        <w:gridCol w:w="1534"/>
        <w:gridCol w:w="1094"/>
        <w:gridCol w:w="1315"/>
        <w:gridCol w:w="1318"/>
        <w:gridCol w:w="981"/>
        <w:gridCol w:w="882"/>
      </w:tblGrid>
      <w:tr>
        <w:tblPrEx>
          <w:tblCellMar>
            <w:top w:w="0" w:type="dxa"/>
            <w:left w:w="108" w:type="dxa"/>
            <w:bottom w:w="0" w:type="dxa"/>
            <w:right w:w="108" w:type="dxa"/>
          </w:tblCellMar>
        </w:tblPrEx>
        <w:trPr>
          <w:trHeight w:val="285" w:hRule="atLeast"/>
          <w:tblHeader/>
        </w:trPr>
        <w:tc>
          <w:tcPr>
            <w:tcW w:w="11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单位</w:t>
            </w:r>
          </w:p>
        </w:tc>
        <w:tc>
          <w:tcPr>
            <w:tcW w:w="9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沙化程度</w:t>
            </w:r>
          </w:p>
        </w:tc>
        <w:tc>
          <w:tcPr>
            <w:tcW w:w="11206" w:type="dxa"/>
            <w:gridSpan w:val="9"/>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沙化土地面积</w:t>
            </w:r>
            <w:r>
              <w:rPr>
                <w:rFonts w:hint="eastAsia" w:ascii="Times New Roman" w:hAnsi="Times New Roman" w:eastAsia="仿宋_GB2312" w:cs="Times New Roman"/>
                <w:b/>
                <w:bCs/>
                <w:color w:val="000000"/>
                <w:kern w:val="0"/>
                <w:sz w:val="18"/>
                <w:szCs w:val="18"/>
              </w:rPr>
              <w:t>（公顷）</w:t>
            </w:r>
          </w:p>
        </w:tc>
        <w:tc>
          <w:tcPr>
            <w:tcW w:w="8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备注</w:t>
            </w:r>
          </w:p>
        </w:tc>
      </w:tr>
      <w:tr>
        <w:tblPrEx>
          <w:tblCellMar>
            <w:top w:w="0" w:type="dxa"/>
            <w:left w:w="108" w:type="dxa"/>
            <w:bottom w:w="0" w:type="dxa"/>
            <w:right w:w="108" w:type="dxa"/>
          </w:tblCellMar>
        </w:tblPrEx>
        <w:trPr>
          <w:trHeight w:val="285" w:hRule="atLeast"/>
          <w:tblHeader/>
        </w:trPr>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c>
          <w:tcPr>
            <w:tcW w:w="109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总计</w:t>
            </w:r>
          </w:p>
        </w:tc>
        <w:tc>
          <w:tcPr>
            <w:tcW w:w="15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流动沙地（丘）</w:t>
            </w:r>
          </w:p>
        </w:tc>
        <w:tc>
          <w:tcPr>
            <w:tcW w:w="387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半固定沙地（丘）</w:t>
            </w:r>
          </w:p>
        </w:tc>
        <w:tc>
          <w:tcPr>
            <w:tcW w:w="3727"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固定沙地（丘）</w:t>
            </w:r>
          </w:p>
        </w:tc>
        <w:tc>
          <w:tcPr>
            <w:tcW w:w="98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沙化耕地</w:t>
            </w:r>
          </w:p>
        </w:tc>
        <w:tc>
          <w:tcPr>
            <w:tcW w:w="8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r>
      <w:tr>
        <w:tblPrEx>
          <w:tblCellMar>
            <w:top w:w="0" w:type="dxa"/>
            <w:left w:w="108" w:type="dxa"/>
            <w:bottom w:w="0" w:type="dxa"/>
            <w:right w:w="108" w:type="dxa"/>
          </w:tblCellMar>
        </w:tblPrEx>
        <w:trPr>
          <w:trHeight w:val="285" w:hRule="atLeast"/>
          <w:tblHeader/>
        </w:trPr>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c>
          <w:tcPr>
            <w:tcW w:w="109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153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8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合计</w:t>
            </w:r>
          </w:p>
        </w:tc>
        <w:tc>
          <w:tcPr>
            <w:tcW w:w="15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人工半固定沙地</w:t>
            </w:r>
          </w:p>
        </w:tc>
        <w:tc>
          <w:tcPr>
            <w:tcW w:w="15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天然半固定沙地</w:t>
            </w:r>
          </w:p>
        </w:tc>
        <w:tc>
          <w:tcPr>
            <w:tcW w:w="1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合计</w:t>
            </w:r>
          </w:p>
        </w:tc>
        <w:tc>
          <w:tcPr>
            <w:tcW w:w="131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人工固定沙地</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天然固定沙地</w:t>
            </w:r>
          </w:p>
        </w:tc>
        <w:tc>
          <w:tcPr>
            <w:tcW w:w="98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总计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33944.7362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56.6837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27.3895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9.5509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17.8386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27180.3299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22980.1201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4200.2098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6680.3331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33579.8840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26932.7320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22891.3368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4041.3952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6647.1520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245.8767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212.6956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53.8810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158.8146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33.1811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62.2918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27.3895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9.5509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17.8386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34.9023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34.9023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56.6837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56.6837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1398.4251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19.6177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8.4072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900.2494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702.6834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197.5660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478.5580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1348.2548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869.6968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677.3075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192.3893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478.5580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17.3332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17.3332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12.1565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5.1767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32.8371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19.6177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8.4072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13.2194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13.2194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20.6214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6.3293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6.3293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14.2921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5.9733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8.3188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13.2341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13.2341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4.9153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8.3188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7.3873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6.3293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6.3293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1.0580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1.0580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325.6581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258.4334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210.9346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47.4988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67.2247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325.6581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258.4334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210.9346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47.4988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67.2247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15.8426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13.7514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9.9033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2.0912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15.8426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13.7514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9.9033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2.0912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937.6652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11.7323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0.5218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521.0242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417.3520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103.6722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404.9087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908.1751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503.2664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404.7709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98.4955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404.9087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5.5964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5.5964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0.4197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5.1767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23.8937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11.7323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0.5218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12.1614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12.1614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92.2166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86.3271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52.0990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34.2281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4.3334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78.9237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74.5903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40.3622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34.2281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4.3334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11.7368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11.7368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11.7368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南澳县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南澳县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88.6694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86.0590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80.6792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2.6104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88.6694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86.0590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80.6792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2.6104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88.6694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86.0590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80.6792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2.6104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88.6694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86.0590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80.6792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2.6104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16090.3382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27.6984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12997.3419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11397.2126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1600.1293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3064.5863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16031.9635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12996.0447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11396.7489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1599.2958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3035.9188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29.8838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1.2163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0.3828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0.8335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28.6675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0.7925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0.0809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0.0809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27.6984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27.6984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1899.8035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19.6422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1735.5494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1201.0015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534.5479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144.6119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1880.1613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1735.5494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1201.0015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534.5479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144.6119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19.6422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19.6422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1133.0739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1109.3671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847.7187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261.6484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23.7068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1133.0739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1109.3671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847.7187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261.6484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23.7068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688.0198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1.6887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681.4472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634.2904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47.1568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4.8839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686.3311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681.4472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634.2904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47.1568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4.8839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1.6887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1.6887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5864.0871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0.1569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4383.3336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4155.9330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227.4006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1479.8901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5862.0074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4382.1173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4155.5502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226.5671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1479.8901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1.2163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1.2163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0.3828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0.8335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0.1569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0.1569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4952.0953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5.9832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3671.9418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3433.7970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238.1448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1274.1652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4946.0261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3671.8609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3433.7161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238.1448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1274.1652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0.0860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0.0809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0.0809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5.9832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5.9832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1553.2586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0.2274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1415.7028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1124.4720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291.2308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137.3284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1524.3637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1415.7028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1124.4720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291.2308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108.6609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28.6675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28.6675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0.2274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0.2274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1667.8682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1378.6370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1079.2149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299.4221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289.2312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1660.5326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1371.3014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1079.2149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292.0865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289.2312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7.3356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7.3356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7.3356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1667.8682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1378.6370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1079.2149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299.4221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289.2312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1660.5326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1371.3014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1079.2149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292.0865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289.2312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7.3356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7.3356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7.3356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44.5201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31.9785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28.4198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3.5587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10.0590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39.9227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29.8637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26.3050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3.5587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10.0590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2.1148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2.1148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2.1148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44.5201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31.9785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28.4198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3.5587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10.0590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39.9227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29.8637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26.3050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3.5587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10.0590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2.1148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2.1148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2.1148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8463.5918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19.0515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6999.3061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5620.9874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1378.3187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1445.2342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8407.5884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6962.3542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5612.4391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1349.9151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1445.2342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28.7871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28.7871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0.3835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28.4036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8.1648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8.1648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8.1648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19.0515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19.0515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1159.9684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15.9893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1068.0813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801.4619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266.6194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75.8978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1135.8143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1059.9165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793.2971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266.6194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75.8978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8.1648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8.1648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8.1648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15.9893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15.9893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380.8539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344.4772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265.0457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79.4315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36.3767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380.8539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344.4772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265.0457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79.4315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36.3767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6922.7695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3.0622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5586.7476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4554.4798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1032.2678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1332.9597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6890.9202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5557.9605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4554.0963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1003.8642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1332.9597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28.7871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28.7871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0.3835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28.4036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3.0622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3.0622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2107.5422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1918.0629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1627.5961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290.4668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180.0065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2077.8807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1897.8742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1619.0333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278.8409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180.0065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20.1887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20.1887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8.5628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11.6259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340.8436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299.5455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268.8081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30.7374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41.2981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337.2666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295.9685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267.6596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28.3089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41.2981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3.5770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3.5770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1.1485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2.4285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259.6083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237.4470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208.4344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29.0126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22.1613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252.1940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230.0327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201.0201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29.0126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22.1613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7.4143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7.4143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7.4143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1507.0903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1381.0704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1150.3536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230.7168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116.5471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1488.4201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1371.8730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1150.3536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221.5194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116.5471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9.1974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9.1974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9.1974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922.1536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472.8123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431.0040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449.2712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922.0835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472.8123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431.0040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449.2712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922.1536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472.8123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431.0040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449.2712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922.0835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472.8123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431.0040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449.2712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3161.6276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4.5776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2395.8828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2012.3227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383.5601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760.7763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3002.9884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2246.7257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1968.6049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278.1208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756.2627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140.2335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135.7199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30.2806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105.4393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4.5136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18.0148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4.5776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13.4372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13.4372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3161.6276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4.5776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2395.8828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2012.3227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383.5601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760.7763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轻度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3002.9884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2246.7257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1968.6049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278.1208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756.2627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中度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140.2335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135.7199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30.2806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105.4393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4.5136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18.0148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4.5776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13.4372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13.4372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147"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9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极重度</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53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9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5"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18"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8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bl>
    <w:p>
      <w:pPr>
        <w:spacing w:line="560" w:lineRule="exact"/>
        <w:rPr>
          <w:rFonts w:ascii="Times New Roman" w:hAnsi="Times New Roman" w:eastAsia="仿宋_GB2312" w:cs="Times New Roman"/>
          <w:color w:val="000000" w:themeColor="text1"/>
          <w:sz w:val="30"/>
          <w:szCs w:val="30"/>
        </w:rPr>
        <w:sectPr>
          <w:pgSz w:w="16838" w:h="11906" w:orient="landscape"/>
          <w:pgMar w:top="1800" w:right="1440" w:bottom="1800" w:left="144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t xml:space="preserve">  广东省沙化土地按土地利用类型面积统计表</w:t>
      </w:r>
    </w:p>
    <w:p>
      <w:pPr>
        <w:jc w:val="right"/>
        <w:rPr>
          <w:rFonts w:ascii="仿宋_GB2312" w:eastAsia="仿宋_GB2312"/>
        </w:rPr>
      </w:pPr>
      <w:r>
        <w:rPr>
          <w:rFonts w:hint="eastAsia" w:ascii="仿宋_GB2312" w:eastAsia="仿宋_GB2312"/>
        </w:rPr>
        <w:t>单位：公顷</w:t>
      </w:r>
    </w:p>
    <w:tbl>
      <w:tblPr>
        <w:tblStyle w:val="26"/>
        <w:tblW w:w="14174" w:type="dxa"/>
        <w:tblInd w:w="0" w:type="dxa"/>
        <w:tblLayout w:type="fixed"/>
        <w:tblCellMar>
          <w:top w:w="0" w:type="dxa"/>
          <w:left w:w="108" w:type="dxa"/>
          <w:bottom w:w="0" w:type="dxa"/>
          <w:right w:w="108" w:type="dxa"/>
        </w:tblCellMar>
      </w:tblPr>
      <w:tblGrid>
        <w:gridCol w:w="1054"/>
        <w:gridCol w:w="1323"/>
        <w:gridCol w:w="1079"/>
        <w:gridCol w:w="1481"/>
        <w:gridCol w:w="801"/>
        <w:gridCol w:w="1481"/>
        <w:gridCol w:w="1481"/>
        <w:gridCol w:w="1080"/>
        <w:gridCol w:w="1301"/>
        <w:gridCol w:w="1301"/>
        <w:gridCol w:w="981"/>
        <w:gridCol w:w="811"/>
      </w:tblGrid>
      <w:tr>
        <w:tblPrEx>
          <w:tblCellMar>
            <w:top w:w="0" w:type="dxa"/>
            <w:left w:w="108" w:type="dxa"/>
            <w:bottom w:w="0" w:type="dxa"/>
            <w:right w:w="108" w:type="dxa"/>
          </w:tblCellMar>
        </w:tblPrEx>
        <w:trPr>
          <w:trHeight w:val="285" w:hRule="atLeast"/>
          <w:tblHeader/>
        </w:trPr>
        <w:tc>
          <w:tcPr>
            <w:tcW w:w="10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单位</w:t>
            </w:r>
          </w:p>
        </w:tc>
        <w:tc>
          <w:tcPr>
            <w:tcW w:w="13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地类</w:t>
            </w:r>
          </w:p>
        </w:tc>
        <w:tc>
          <w:tcPr>
            <w:tcW w:w="10986" w:type="dxa"/>
            <w:gridSpan w:val="9"/>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沙化土地面积（公顷）</w:t>
            </w:r>
          </w:p>
        </w:tc>
        <w:tc>
          <w:tcPr>
            <w:tcW w:w="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备注</w:t>
            </w:r>
          </w:p>
        </w:tc>
      </w:tr>
      <w:tr>
        <w:tblPrEx>
          <w:tblCellMar>
            <w:top w:w="0" w:type="dxa"/>
            <w:left w:w="108" w:type="dxa"/>
            <w:bottom w:w="0" w:type="dxa"/>
            <w:right w:w="108" w:type="dxa"/>
          </w:tblCellMar>
        </w:tblPrEx>
        <w:trPr>
          <w:trHeight w:val="285" w:hRule="atLeast"/>
          <w:tblHeader/>
        </w:trPr>
        <w:tc>
          <w:tcPr>
            <w:tcW w:w="10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1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10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总计</w:t>
            </w:r>
          </w:p>
        </w:tc>
        <w:tc>
          <w:tcPr>
            <w:tcW w:w="148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流动沙地（丘）</w:t>
            </w:r>
          </w:p>
        </w:tc>
        <w:tc>
          <w:tcPr>
            <w:tcW w:w="376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半固定沙地（丘）</w:t>
            </w:r>
          </w:p>
        </w:tc>
        <w:tc>
          <w:tcPr>
            <w:tcW w:w="368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固定沙地（丘）</w:t>
            </w:r>
          </w:p>
        </w:tc>
        <w:tc>
          <w:tcPr>
            <w:tcW w:w="98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沙化耕地</w:t>
            </w:r>
          </w:p>
        </w:tc>
        <w:tc>
          <w:tcPr>
            <w:tcW w:w="8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r>
      <w:tr>
        <w:tblPrEx>
          <w:tblCellMar>
            <w:top w:w="0" w:type="dxa"/>
            <w:left w:w="108" w:type="dxa"/>
            <w:bottom w:w="0" w:type="dxa"/>
            <w:right w:w="108" w:type="dxa"/>
          </w:tblCellMar>
        </w:tblPrEx>
        <w:trPr>
          <w:trHeight w:val="285" w:hRule="atLeast"/>
          <w:tblHeader/>
        </w:trPr>
        <w:tc>
          <w:tcPr>
            <w:tcW w:w="10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13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148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合计</w:t>
            </w:r>
          </w:p>
        </w:tc>
        <w:tc>
          <w:tcPr>
            <w:tcW w:w="148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人工半固定沙地</w:t>
            </w:r>
          </w:p>
        </w:tc>
        <w:tc>
          <w:tcPr>
            <w:tcW w:w="148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天然半固定沙地</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合计</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人工固定沙地</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 w:val="18"/>
                <w:szCs w:val="18"/>
              </w:rPr>
            </w:pPr>
            <w:r>
              <w:rPr>
                <w:rFonts w:ascii="Times New Roman" w:hAnsi="Times New Roman" w:eastAsia="仿宋_GB2312" w:cs="Times New Roman"/>
                <w:b/>
                <w:bCs/>
                <w:color w:val="000000"/>
                <w:kern w:val="0"/>
                <w:sz w:val="18"/>
                <w:szCs w:val="18"/>
              </w:rPr>
              <w:t>天然固定沙地</w:t>
            </w:r>
          </w:p>
        </w:tc>
        <w:tc>
          <w:tcPr>
            <w:tcW w:w="981"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bCs/>
                <w:color w:val="000000"/>
                <w:kern w:val="0"/>
                <w:sz w:val="18"/>
                <w:szCs w:val="18"/>
              </w:rPr>
            </w:pPr>
          </w:p>
        </w:tc>
        <w:tc>
          <w:tcPr>
            <w:tcW w:w="8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18"/>
                <w:szCs w:val="18"/>
              </w:rPr>
            </w:pP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总计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33944.7362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56.6837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27.3895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9.5509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17.8386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27180.3299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22980.1201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4200.2098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6680.3331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1914.1871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1914.1871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4766.1460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4766.1460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20344.8851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5.8476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5.8476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20339.0375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20339.0375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56.3467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56.3467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56.3467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248.0443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248.0443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225.8645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22.1798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2324.1923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3.7033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3.7033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2320.4890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2320.4890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人工牧草地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26.6573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26.6573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26.6573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4193.5228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17.1270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17.1270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4176.3958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4176.3958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14.0709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13.3593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11.7251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1.6342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广东省</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56.6837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56.6837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1398.4251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19.6177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8.4072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900.2494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702.6834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197.5660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478.5580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398.7140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398.7140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79.8440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79.8440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613.1197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5.8476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5.8476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607.2721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607.2721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5.6433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5.6433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5.6433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25.6226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25.6226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25.6226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66.7050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2.5596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2.5596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64.1454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64.1454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汕头市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208.7765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197.5660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197.5660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20.6214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6.3293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6.3293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14.2921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5.9733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8.3188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5.8483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4.2915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4.2915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4.3993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4.3993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4.3993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2.0550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2.0378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2.0378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0.0172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0.0172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龙湖区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8.3188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8.3188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8.3188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325.6581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258.4334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210.9346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47.4988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67.2247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47.9789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47.9789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19.2458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19.2458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162.3159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162.3159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162.3159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4.7762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4.7762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4.7762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5.7928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5.7928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5.7928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38.0497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38.0497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38.0497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濠江区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47.4988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47.4988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47.4988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15.8426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13.7514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9.9033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2.0912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1.1845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1.1845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0.9067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0.9067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9.3745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9.3745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9.3745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0.5288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0.5288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0.5288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潮阳区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3.8481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3.8481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937.6652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11.7323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0.5218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521.0242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417.3520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103.6722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404.9087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345.2487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345.2487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59.6600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59.6600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382.5284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382.5284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382.5284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0.8671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0.8671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0.8671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9.5644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9.5644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9.5644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24.9139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0.5218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0.5218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24.3921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24.3921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潮南区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114.8827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11.2105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103.6722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103.6722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92.2166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86.3271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52.0990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34.2281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4.3334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4.3019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4.3019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0.0315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0.0315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46.6314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1.5561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45.0753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45.0753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5.3373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5.3373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5.3373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1.6864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1.6864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1.6864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澄海区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34.2281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34.2281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34.2281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南澳县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南澳县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6.4212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88.6694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86.0590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80.6792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2.6104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0.1119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0.1119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2.4985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2.4985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80.2350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80.2350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80.2350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0.1706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0.1706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0.1706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0.2736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0.2736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0.2736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江门市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88.6694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86.0590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80.6792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2.6104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0.1119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0.1119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2.4985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2.4985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80.2350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80.2350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80.2350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0.1706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0.1706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0.1706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0.2736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0.2736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0.2736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台山市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5.3798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16090.3382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27.6984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12997.3419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11397.2126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1600.1293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3064.5863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261.4187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261.4187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2803.1676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2803.1676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10160.5096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10160.5096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10160.5096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18.0551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18.0551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18.0551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51.6285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51.6285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51.6285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1135.9693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1135.9693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1135.9693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人工牧草地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26.5177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26.5177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26.5177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1600.1222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1600.1222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1600.1222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5.2511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0.7116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4.5395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4.5324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0.0071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湛江市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27.6984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27.6984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1899.8035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19.6422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1735.5494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1201.0015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534.5479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144.6119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10.3399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10.3399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134.2720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134.2720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984.8914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984.8914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984.8914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1.5587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5.7787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5.7787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5.7787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208.7727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208.7727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208.7727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534.5479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534.5479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534.5479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坡头区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19.6422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19.6422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1133.0739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1109.3671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847.7187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261.6484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23.7068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2.6949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2.6949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21.0119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21.0119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604.5555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604.5555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604.5555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5.7803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5.7803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5.7803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237.3829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237.3829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237.3829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麻章区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261.6484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261.6484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261.6484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688.0198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1.6887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681.4472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634.2904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47.1568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4.8839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0.1863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0.1863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4.6976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4.6976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589.0155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589.0155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589.0155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45.2749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45.2749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45.2749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47.1568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47.1568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47.1568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遂溪县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1.6887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1.6887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5864.0871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0.1569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4383.3336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4155.9330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227.4006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1479.8901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226.1269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226.1269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1253.7632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1253.7632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3781.7186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3781.7186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3781.7186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9.3992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9.3992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9.3992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18.1367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18.1367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18.1367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342.1461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342.1461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342.1461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227.3935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227.3935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227.3935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5.2460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0.7065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4.5395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4.5324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0.0071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徐闻县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0.1569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0.1569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4952.0953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5.9832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3671.9418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3433.7970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238.1448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1274.1652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1274.1652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1274.1652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3246.3943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3246.3943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3246.3943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4.5635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4.5635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4.5635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8.9245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8.9245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8.9245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147.3970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147.3970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147.3970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人工牧草地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26.5177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26.5177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26.5177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238.1448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238.1448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238.1448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0.0051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雷州市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5.9832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5.9832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1553.2586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0.2274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1415.7028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1124.4720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291.2308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137.3284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22.0707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22.0707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115.2577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115.2577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953.9343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953.9343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953.9343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2.5337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2.5337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2.5337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13.0083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13.0083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13.0083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154.9957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154.9957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154.9957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291.2308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291.2308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291.2308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吴川市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0.2274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0.2274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1667.8682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1378.6370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1079.2149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299.4221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289.2312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40.3821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40.3821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248.8491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248.8491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996.6466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996.6466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996.6466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2.2305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2.2305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2.2305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11.8794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11.8794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11.5701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0.3093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68.7677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68.7677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68.7677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茂名市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299.1128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299.1128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299.1128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1667.8682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1378.6370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1079.2149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299.4221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289.2312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40.3821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40.3821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248.8491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248.8491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996.6466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996.6466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996.6466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2.2305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2.2305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2.2305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11.8794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11.8794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11.5701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0.3093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68.7677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68.7677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68.7677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电白区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299.1128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299.1128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299.1128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44.5201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31.9785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28.4198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3.5587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10.0590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1.3530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1.3530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8.7060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8.7060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16.1239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16.1239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16.1239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10.0299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10.0299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9.5149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0.5150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5.5263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3.0437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3.0437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44.5201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31.9785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28.4198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3.5587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10.0590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1.3530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1.3530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8.7060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8.7060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16.1239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16.1239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16.1239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1.2739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10.0299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10.0299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9.5149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0.5150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惠东县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5.5263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2.4826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3.0437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3.0437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8463.5918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19.0515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6999.3061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5620.9874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1378.3187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1445.2342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446.1575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446.1575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999.0767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999.0767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4840.3282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4840.3282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4840.3282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19.6327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19.6327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19.6327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71.5321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71.5321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53.2178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18.3143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704.5759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704.5759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704.5759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人工牧草地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0.1396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0.1396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0.1396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1358.3773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1358.3773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1358.3773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4.7203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4.7203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3.0932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1.6271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19.0515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19.0515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1159.9684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15.9893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1068.0813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801.4619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266.6194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75.8978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62.2130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62.2130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13.6848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13.6848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621.7615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621.7615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621.7615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14.9263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14.9263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14.9263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164.6571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164.6571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164.6571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人工牧草地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0.1170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0.1170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266.6194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266.6194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266.6194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汕尾城区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15.9893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15.9893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380.8539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344.4772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265.0457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79.4315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36.3767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5.2140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5.2140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31.1627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31.1627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219.2433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219.2433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219.2433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2.5265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2.5265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2.5265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24.8791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24.8791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20.1303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4.7488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23.1456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23.1456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23.1456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海丰县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74.6827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74.6827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74.6827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6922.7695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3.0622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5586.7476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4554.4798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1032.2678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1332.9597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378.7305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378.7305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954.2292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954.2292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3999.3234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3999.3234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3999.3234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17.1062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17.1062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17.1062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31.7267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31.7267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18.1612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13.5655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516.7732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516.7732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516.7732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人工牧草地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0.0226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0.0226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0.0226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1017.0752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1017.0752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1017.0752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4.7203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4.7203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3.0932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1.6271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陆丰市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3.0622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3.0622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2107.5422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1918.0629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1627.5961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290.4668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180.0065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26.4444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26.4444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153.5621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153.5621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1547.8211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1547.8211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1547.8211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2.2042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2.2042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2.2042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7.8695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7.8695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7.3450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0.5245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66.1263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66.1263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66.1263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289.9423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289.9423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289.9423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4.0995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4.0995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4.0995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阳江市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340.8436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299.5455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268.8081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30.7374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41.2981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9.1550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9.1550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32.1431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32.1431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248.0339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248.0339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248.0339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1.0589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1.0589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1.0589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19.7153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19.7153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19.7153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江城区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30.7374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30.7374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30.7374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259.6083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237.4470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208.4344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29.0126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22.1613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3.1623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3.1623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18.9990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18.9990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187.6305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187.6305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187.6305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1.6491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1.6491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1.6491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1.9966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1.9966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1.9966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17.1582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17.1582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17.1582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阳东区</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29.0126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29.0126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29.0126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1507.0903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1381.0704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1150.3536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230.7168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116.5471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14.1271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14.1271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102.4200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102.4200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1112.1567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1112.1567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1112.1567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0.5551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0.5551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0.5551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4.8140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4.8140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4.2895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0.5245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29.2528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29.2528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29.2528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230.1923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230.1923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230.1923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盐碱地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4.0995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4.0995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4.0995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阳西县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9.4728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922.1536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472.8123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431.0040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449.2712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254.4312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254.4312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194.8400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194.8400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394.1343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394.1343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394.1343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1.1345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29.0563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29.0563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29.0563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6.6789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6.6789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6.6789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潮州市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922.1536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472.8123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431.0040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449.2712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254.4312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254.4312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194.8400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194.8400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394.1343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394.1343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394.1343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1.1345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1.1345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29.0563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29.0563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29.0563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6.6789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6.6789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6.6789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41.8083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饶平县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0.0701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合计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3161.6276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4.5776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2395.8828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2012.3227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383.5601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760.7763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485.1743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485.1743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275.6020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275.6020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1695.9667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1695.9667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1695.9667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6.1725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6.1725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6.1725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40.2554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40.2554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37.7387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2.5167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273.5885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272.4448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272.4448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384.4773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381.0434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381.0434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揭阳市</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小计</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3161.6276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4.5776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2395.8828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2012.3227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383.5601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760.7763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水浇地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485.1743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485.1743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旱地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275.6020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275.6020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乔木林地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1695.9667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1695.9667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1695.9667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竹林地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6.1725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6.1725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6.1725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灌木林地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40.2554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40.2554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37.7387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2.5167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其他林地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273.5885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1.1437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272.4448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272.4448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其他草地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384.4773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3.4339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381.0434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381.0434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r>
        <w:tblPrEx>
          <w:tblCellMar>
            <w:top w:w="0" w:type="dxa"/>
            <w:left w:w="108" w:type="dxa"/>
            <w:bottom w:w="0" w:type="dxa"/>
            <w:right w:w="108" w:type="dxa"/>
          </w:tblCellMar>
        </w:tblPrEx>
        <w:trPr>
          <w:trHeight w:val="285" w:hRule="atLeast"/>
        </w:trPr>
        <w:tc>
          <w:tcPr>
            <w:tcW w:w="105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惠来县</w:t>
            </w:r>
          </w:p>
        </w:tc>
        <w:tc>
          <w:tcPr>
            <w:tcW w:w="132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沙地</w:t>
            </w:r>
          </w:p>
        </w:tc>
        <w:tc>
          <w:tcPr>
            <w:tcW w:w="1079"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xml:space="preserve">0.3909 </w:t>
            </w:r>
          </w:p>
        </w:tc>
        <w:tc>
          <w:tcPr>
            <w:tcW w:w="8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4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08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130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98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c>
          <w:tcPr>
            <w:tcW w:w="81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　</w:t>
            </w:r>
          </w:p>
        </w:tc>
      </w:tr>
    </w:tbl>
    <w:p>
      <w:pPr>
        <w:spacing w:line="560" w:lineRule="exact"/>
        <w:rPr>
          <w:rFonts w:ascii="Times New Roman" w:hAnsi="Times New Roman" w:eastAsia="仿宋_GB2312" w:cs="Times New Roman"/>
          <w:color w:val="000000" w:themeColor="text1"/>
          <w:sz w:val="30"/>
          <w:szCs w:val="30"/>
        </w:rPr>
        <w:sectPr>
          <w:pgSz w:w="16838" w:h="11906" w:orient="landscape"/>
          <w:pgMar w:top="1800" w:right="1440" w:bottom="1800" w:left="144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rPr>
        <w:t xml:space="preserve">  广东省防沙治沙规划沙化土地防护面积统计表</w:t>
      </w:r>
    </w:p>
    <w:p>
      <w:pPr>
        <w:jc w:val="right"/>
        <w:rPr>
          <w:rFonts w:ascii="仿宋_GB2312" w:eastAsia="仿宋_GB2312"/>
        </w:rPr>
      </w:pPr>
      <w:r>
        <w:rPr>
          <w:rFonts w:hint="eastAsia" w:ascii="仿宋_GB2312" w:eastAsia="仿宋_GB2312"/>
        </w:rPr>
        <w:t>单位：公顷</w:t>
      </w:r>
    </w:p>
    <w:tbl>
      <w:tblPr>
        <w:tblStyle w:val="26"/>
        <w:tblW w:w="8620" w:type="dxa"/>
        <w:jc w:val="center"/>
        <w:tblLayout w:type="fixed"/>
        <w:tblCellMar>
          <w:top w:w="0" w:type="dxa"/>
          <w:left w:w="108" w:type="dxa"/>
          <w:bottom w:w="0" w:type="dxa"/>
          <w:right w:w="108" w:type="dxa"/>
        </w:tblCellMar>
      </w:tblPr>
      <w:tblGrid>
        <w:gridCol w:w="1080"/>
        <w:gridCol w:w="1540"/>
        <w:gridCol w:w="1631"/>
        <w:gridCol w:w="1463"/>
        <w:gridCol w:w="1532"/>
        <w:gridCol w:w="1374"/>
      </w:tblGrid>
      <w:tr>
        <w:tblPrEx>
          <w:tblCellMar>
            <w:top w:w="0" w:type="dxa"/>
            <w:left w:w="108" w:type="dxa"/>
            <w:bottom w:w="0" w:type="dxa"/>
            <w:right w:w="108" w:type="dxa"/>
          </w:tblCellMar>
        </w:tblPrEx>
        <w:trPr>
          <w:trHeight w:val="496" w:hRule="atLeast"/>
          <w:jc w:val="center"/>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统计单位</w:t>
            </w:r>
          </w:p>
        </w:tc>
        <w:tc>
          <w:tcPr>
            <w:tcW w:w="15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合计</w:t>
            </w:r>
          </w:p>
        </w:tc>
        <w:tc>
          <w:tcPr>
            <w:tcW w:w="600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hint="eastAsia" w:ascii="Times New Roman" w:hAnsi="Times New Roman" w:eastAsia="仿宋_GB2312" w:cs="Times New Roman"/>
                <w:b/>
                <w:bCs/>
                <w:color w:val="000000"/>
                <w:kern w:val="0"/>
                <w:szCs w:val="21"/>
              </w:rPr>
              <w:t>沙化土地类型</w:t>
            </w:r>
          </w:p>
        </w:tc>
      </w:tr>
      <w:tr>
        <w:trPr>
          <w:trHeight w:val="458" w:hRule="atLeast"/>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bCs/>
                <w:color w:val="000000"/>
                <w:kern w:val="0"/>
                <w:szCs w:val="21"/>
              </w:rPr>
            </w:pPr>
          </w:p>
        </w:tc>
        <w:tc>
          <w:tcPr>
            <w:tcW w:w="15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bCs/>
                <w:color w:val="000000"/>
                <w:kern w:val="0"/>
                <w:szCs w:val="21"/>
              </w:rPr>
            </w:pPr>
          </w:p>
        </w:tc>
        <w:tc>
          <w:tcPr>
            <w:tcW w:w="163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流动沙地(丘)</w:t>
            </w:r>
          </w:p>
        </w:tc>
        <w:tc>
          <w:tcPr>
            <w:tcW w:w="146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半固定沙地</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固定沙地</w:t>
            </w:r>
          </w:p>
        </w:tc>
        <w:tc>
          <w:tcPr>
            <w:tcW w:w="137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沙化耕地</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广东省</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31468.0695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56.6837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8.5919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24722.4608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6680.3331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汕头市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1198.4251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7.8854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711.9817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478.5580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龙湖区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20.6214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6.3293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14.2921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0.0000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濠江区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325.6581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258.4334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67.2247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潮阳区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2.5093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0.4181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2.0912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潮南区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750.9985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346.0898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404.9087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澄海区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92.2166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1.5561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86.3271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4.3334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南澳县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6.4212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6.4212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0.0000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江门市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88.6694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86.0590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2.6104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台山市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88.6694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86.0590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2.6104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湛江市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15200.3382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27.6984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0.7065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12107.3470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3064.5863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坡头区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1433.1368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19.6422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1268.8827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144.6119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麻章区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1043.0739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1019.3671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23.7068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遂溪县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688.0198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1.6887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681.4472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4.8839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徐闻县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5864.0871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0.1569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0.7065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4383.3336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1479.8901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雷州市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4785.4286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5.9832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3505.2802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1274.1652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吴川市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1386.5919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0.2274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1249.0361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137.3284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茂名市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1634.5349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1345.3037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289.2312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电白区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1634.5349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1345.3037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289.2312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惠州市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11.1868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1.1278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10.0590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惠东县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11.1868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1.1278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10.0590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汕尾市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7663.5918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19.0515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6199.3061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1445.2342 </w:t>
            </w:r>
          </w:p>
        </w:tc>
      </w:tr>
      <w:tr>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城区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926.6351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15.9893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834.7480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75.8978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海丰县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247.5206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211.1439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36.3767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陆丰市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6489.4362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3.0622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5153.4143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1332.9597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阳江市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2107.5422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9.4728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1918.0629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180.0065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江城区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340.8436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299.5455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41.2981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阳东区</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259.6083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237.4470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22.1613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阳西县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1507.0903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9.4728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1381.0704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116.5471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潮州市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902.1536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0.0701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452.8123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449.2712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饶平县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902.1536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0.0701 </w:t>
            </w:r>
          </w:p>
        </w:tc>
        <w:tc>
          <w:tcPr>
            <w:tcW w:w="1463"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452.8123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449.2712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揭阳市</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2661.6276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0.3909 </w:t>
            </w:r>
          </w:p>
        </w:tc>
        <w:tc>
          <w:tcPr>
            <w:tcW w:w="1463"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1900.4604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 xml:space="preserve">760.7763 </w:t>
            </w:r>
          </w:p>
        </w:tc>
      </w:tr>
      <w:tr>
        <w:tblPrEx>
          <w:tblCellMar>
            <w:top w:w="0" w:type="dxa"/>
            <w:left w:w="108" w:type="dxa"/>
            <w:bottom w:w="0" w:type="dxa"/>
            <w:right w:w="108" w:type="dxa"/>
          </w:tblCellMar>
        </w:tblPrEx>
        <w:trPr>
          <w:trHeight w:val="285" w:hRule="atLeast"/>
          <w:jc w:val="center"/>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惠来县</w:t>
            </w:r>
          </w:p>
        </w:tc>
        <w:tc>
          <w:tcPr>
            <w:tcW w:w="15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2661.6276 </w:t>
            </w:r>
          </w:p>
        </w:tc>
        <w:tc>
          <w:tcPr>
            <w:tcW w:w="1631"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0.3909 </w:t>
            </w:r>
          </w:p>
        </w:tc>
        <w:tc>
          <w:tcPr>
            <w:tcW w:w="1463"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w:t>
            </w:r>
          </w:p>
        </w:tc>
        <w:tc>
          <w:tcPr>
            <w:tcW w:w="1532"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1900.4604 </w:t>
            </w:r>
          </w:p>
        </w:tc>
        <w:tc>
          <w:tcPr>
            <w:tcW w:w="1374"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 xml:space="preserve">760.7763 </w:t>
            </w:r>
          </w:p>
        </w:tc>
      </w:tr>
    </w:tbl>
    <w:p>
      <w:pPr>
        <w:spacing w:line="560" w:lineRule="exact"/>
        <w:rPr>
          <w:rFonts w:ascii="Times New Roman" w:hAnsi="Times New Roman" w:eastAsia="仿宋_GB2312" w:cs="Times New Roman"/>
          <w:color w:val="000000" w:themeColor="text1"/>
          <w:sz w:val="30"/>
          <w:szCs w:val="30"/>
        </w:rPr>
      </w:pPr>
    </w:p>
    <w:p>
      <w:pPr>
        <w:spacing w:line="560" w:lineRule="exact"/>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br w:type="page"/>
      </w:r>
    </w:p>
    <w:p>
      <w:pPr>
        <w:pStyle w:val="7"/>
        <w:keepNext/>
        <w:jc w:val="center"/>
        <w:outlineLvl w:val="0"/>
        <w:rPr>
          <w:rFonts w:ascii="Times New Roman" w:hAnsi="Times New Roman" w:cs="Times New Roman"/>
          <w:sz w:val="28"/>
          <w:szCs w:val="28"/>
        </w:rPr>
      </w:pPr>
      <w:r>
        <w:rPr>
          <w:rFonts w:ascii="Times New Roman" w:hAnsi="Times New Roman" w:cs="Times New Roman"/>
          <w:spacing w:val="-2"/>
          <w:sz w:val="28"/>
          <w:szCs w:val="28"/>
        </w:rPr>
        <w:t>附表</w:t>
      </w:r>
      <w:r>
        <w:rPr>
          <w:rFonts w:ascii="Times New Roman" w:hAnsi="Times New Roman" w:cs="Times New Roman"/>
          <w:spacing w:val="-2"/>
          <w:sz w:val="28"/>
          <w:szCs w:val="28"/>
        </w:rPr>
        <w:fldChar w:fldCharType="begin"/>
      </w:r>
      <w:r>
        <w:rPr>
          <w:rFonts w:ascii="Times New Roman" w:hAnsi="Times New Roman" w:cs="Times New Roman"/>
          <w:spacing w:val="-2"/>
          <w:sz w:val="28"/>
          <w:szCs w:val="28"/>
        </w:rPr>
        <w:instrText xml:space="preserve"> SEQ 附表 \* ARABIC </w:instrText>
      </w:r>
      <w:r>
        <w:rPr>
          <w:rFonts w:ascii="Times New Roman" w:hAnsi="Times New Roman" w:cs="Times New Roman"/>
          <w:spacing w:val="-2"/>
          <w:sz w:val="28"/>
          <w:szCs w:val="28"/>
        </w:rPr>
        <w:fldChar w:fldCharType="separate"/>
      </w:r>
      <w:r>
        <w:rPr>
          <w:rFonts w:ascii="Times New Roman" w:hAnsi="Times New Roman" w:cs="Times New Roman"/>
          <w:spacing w:val="-2"/>
          <w:sz w:val="28"/>
          <w:szCs w:val="28"/>
        </w:rPr>
        <w:t>5</w:t>
      </w:r>
      <w:r>
        <w:rPr>
          <w:rFonts w:ascii="Times New Roman" w:hAnsi="Times New Roman" w:cs="Times New Roman"/>
          <w:spacing w:val="-2"/>
          <w:sz w:val="28"/>
          <w:szCs w:val="28"/>
        </w:rPr>
        <w:fldChar w:fldCharType="end"/>
      </w:r>
      <w:r>
        <w:rPr>
          <w:rFonts w:ascii="Times New Roman" w:hAnsi="Times New Roman" w:cs="Times New Roman"/>
          <w:spacing w:val="-2"/>
          <w:sz w:val="28"/>
          <w:szCs w:val="28"/>
        </w:rPr>
        <w:t xml:space="preserve">  </w:t>
      </w:r>
      <w:r>
        <w:rPr>
          <w:rFonts w:ascii="Times New Roman" w:hAnsi="Times New Roman" w:cs="Times New Roman"/>
          <w:sz w:val="28"/>
          <w:szCs w:val="28"/>
        </w:rPr>
        <w:t>广东省防沙治沙规划人工造林按年度实施规划表</w:t>
      </w:r>
    </w:p>
    <w:p>
      <w:pPr>
        <w:jc w:val="right"/>
        <w:rPr>
          <w:rFonts w:ascii="仿宋_GB2312" w:eastAsia="仿宋_GB2312"/>
        </w:rPr>
      </w:pPr>
      <w:r>
        <w:rPr>
          <w:rFonts w:hint="eastAsia" w:ascii="仿宋_GB2312" w:eastAsia="仿宋_GB2312"/>
        </w:rPr>
        <w:t>单位：公顷</w:t>
      </w:r>
    </w:p>
    <w:tbl>
      <w:tblPr>
        <w:tblStyle w:val="26"/>
        <w:tblW w:w="8640" w:type="dxa"/>
        <w:jc w:val="center"/>
        <w:tblLayout w:type="autofit"/>
        <w:tblCellMar>
          <w:top w:w="0" w:type="dxa"/>
          <w:left w:w="108" w:type="dxa"/>
          <w:bottom w:w="0" w:type="dxa"/>
          <w:right w:w="108" w:type="dxa"/>
        </w:tblCellMar>
      </w:tblPr>
      <w:tblGrid>
        <w:gridCol w:w="1080"/>
        <w:gridCol w:w="1080"/>
        <w:gridCol w:w="1080"/>
        <w:gridCol w:w="1080"/>
        <w:gridCol w:w="1080"/>
        <w:gridCol w:w="1080"/>
        <w:gridCol w:w="1080"/>
        <w:gridCol w:w="1080"/>
      </w:tblGrid>
      <w:tr>
        <w:tblPrEx>
          <w:tblCellMar>
            <w:top w:w="0" w:type="dxa"/>
            <w:left w:w="108" w:type="dxa"/>
            <w:bottom w:w="0" w:type="dxa"/>
            <w:right w:w="108" w:type="dxa"/>
          </w:tblCellMar>
        </w:tblPrEx>
        <w:trPr>
          <w:trHeight w:val="614"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2021</w:t>
            </w:r>
            <w:r>
              <w:rPr>
                <w:rFonts w:hint="eastAsia" w:ascii="仿宋_GB2312" w:hAnsi="Times New Roman" w:eastAsia="仿宋_GB2312" w:cs="Times New Roman"/>
                <w:b/>
                <w:bCs/>
                <w:color w:val="000000"/>
                <w:kern w:val="0"/>
                <w:sz w:val="22"/>
              </w:rPr>
              <w:t>年</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w:t>
            </w:r>
            <w:r>
              <w:rPr>
                <w:rFonts w:hint="eastAsia" w:ascii="仿宋_GB2312" w:hAnsi="Times New Roman" w:eastAsia="仿宋_GB2312" w:cs="Times New Roman"/>
                <w:b/>
                <w:bCs/>
                <w:color w:val="000000"/>
                <w:kern w:val="0"/>
                <w:sz w:val="22"/>
              </w:rPr>
              <w:t>年</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2023</w:t>
            </w:r>
            <w:r>
              <w:rPr>
                <w:rFonts w:hint="eastAsia" w:ascii="仿宋_GB2312" w:hAnsi="Times New Roman" w:eastAsia="仿宋_GB2312" w:cs="Times New Roman"/>
                <w:b/>
                <w:bCs/>
                <w:color w:val="000000"/>
                <w:kern w:val="0"/>
                <w:sz w:val="22"/>
              </w:rPr>
              <w:t>年</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2024</w:t>
            </w:r>
            <w:r>
              <w:rPr>
                <w:rFonts w:hint="eastAsia" w:ascii="仿宋_GB2312" w:hAnsi="Times New Roman" w:eastAsia="仿宋_GB2312" w:cs="Times New Roman"/>
                <w:b/>
                <w:bCs/>
                <w:color w:val="000000"/>
                <w:kern w:val="0"/>
                <w:sz w:val="22"/>
              </w:rPr>
              <w:t>年</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300"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187.7600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62.6360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62.5620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62.5620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龙湖区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濠江区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潮阳区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潮南区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澄海区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南澳县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台山市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7.7943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7.7695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7.7695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坡头区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麻章区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7.7943</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7.7695</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7.7695</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遂溪县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徐闻县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雷州市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吴川市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电白区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惠东县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7.2000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2.4164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2.3918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2.3918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城区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海丰县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7.2000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2.4164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2.3918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2.3918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陆丰市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江城区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阳东区</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阳西县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饶平县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157.2267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52.4253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52.4007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52.4007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惠来县</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157.2267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52.4253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52.4007 </w:t>
            </w:r>
          </w:p>
        </w:tc>
        <w:tc>
          <w:tcPr>
            <w:tcW w:w="10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52.4007 </w:t>
            </w:r>
          </w:p>
        </w:tc>
      </w:tr>
    </w:tbl>
    <w:p>
      <w:pPr>
        <w:jc w:val="right"/>
        <w:rPr>
          <w:rFonts w:ascii="仿宋_GB2312" w:eastAsia="仿宋_GB2312"/>
        </w:rPr>
      </w:pPr>
    </w:p>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t xml:space="preserve">  广东省防沙治沙规划补植套种按年度实施规划表</w:t>
      </w:r>
    </w:p>
    <w:p>
      <w:pPr>
        <w:jc w:val="right"/>
        <w:rPr>
          <w:rFonts w:ascii="仿宋_GB2312" w:eastAsia="仿宋_GB2312"/>
        </w:rPr>
      </w:pPr>
      <w:r>
        <w:rPr>
          <w:rFonts w:hint="eastAsia" w:ascii="仿宋_GB2312" w:eastAsia="仿宋_GB2312"/>
        </w:rPr>
        <w:t>单位：公顷</w:t>
      </w:r>
    </w:p>
    <w:tbl>
      <w:tblPr>
        <w:tblStyle w:val="26"/>
        <w:tblW w:w="9580" w:type="dxa"/>
        <w:jc w:val="center"/>
        <w:tblLayout w:type="autofit"/>
        <w:tblCellMar>
          <w:top w:w="0" w:type="dxa"/>
          <w:left w:w="108" w:type="dxa"/>
          <w:bottom w:w="0" w:type="dxa"/>
          <w:right w:w="108" w:type="dxa"/>
        </w:tblCellMar>
      </w:tblPr>
      <w:tblGrid>
        <w:gridCol w:w="1080"/>
        <w:gridCol w:w="1080"/>
        <w:gridCol w:w="1600"/>
        <w:gridCol w:w="1260"/>
        <w:gridCol w:w="1140"/>
        <w:gridCol w:w="1140"/>
        <w:gridCol w:w="1140"/>
        <w:gridCol w:w="1140"/>
      </w:tblGrid>
      <w:tr>
        <w:tblPrEx>
          <w:tblCellMar>
            <w:top w:w="0" w:type="dxa"/>
            <w:left w:w="108" w:type="dxa"/>
            <w:bottom w:w="0" w:type="dxa"/>
            <w:right w:w="108" w:type="dxa"/>
          </w:tblCellMar>
        </w:tblPrEx>
        <w:trPr>
          <w:trHeight w:val="614"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6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2021</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2023</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2024</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300"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971.7732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323.9744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323.8994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323.8994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66.6750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66.6625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66.6625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龙湖区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濠江区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潮阳区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13.3333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4.4486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4.4424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4.4424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潮南区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62.2264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62.2202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62.2202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澄海区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南澳县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台山市</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183.7999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61.2831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61.2584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61.2584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坡头区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25.5596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25.5536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25.5536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麻章区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11.1152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11.1091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11.1091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遂溪县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徐闻县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雷州市</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66.6666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22.2263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22.2202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22.2202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吴川市</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7.1333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2.3820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2.3757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2.3757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25.3333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8.4486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8.4424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8.4424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电白区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25.3333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8.4486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8.4424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8.4424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3.3375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3.3313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3.3313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惠东县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3.3375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3.3313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3.3313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426.1333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142.0570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142.0382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142.0382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城区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77.7820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77.7757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77.7757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海丰县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126.1333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42.0486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42.0424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42.0424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陆丰市</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22.2264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22.2202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22.2202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江城区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阳东区</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阳西县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6.6709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6.6646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6.6646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饶平县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6.6709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6.6646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6.6646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106.5067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35.5023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35.5022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35.5022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惠来县</w:t>
            </w:r>
          </w:p>
        </w:tc>
        <w:tc>
          <w:tcPr>
            <w:tcW w:w="16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106.5067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35.5023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35.5022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35.5022 </w:t>
            </w:r>
          </w:p>
        </w:tc>
      </w:tr>
    </w:tbl>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广东省防沙治沙规划更新改造按年度实施规划表</w:t>
      </w:r>
    </w:p>
    <w:p>
      <w:pPr>
        <w:jc w:val="right"/>
        <w:rPr>
          <w:rFonts w:ascii="仿宋_GB2312" w:eastAsia="仿宋_GB2312"/>
        </w:rPr>
      </w:pPr>
      <w:r>
        <w:rPr>
          <w:rFonts w:hint="eastAsia" w:ascii="仿宋_GB2312" w:eastAsia="仿宋_GB2312"/>
        </w:rPr>
        <w:t>单位：公顷</w:t>
      </w:r>
    </w:p>
    <w:tbl>
      <w:tblPr>
        <w:tblStyle w:val="26"/>
        <w:tblW w:w="8840" w:type="dxa"/>
        <w:jc w:val="center"/>
        <w:tblLayout w:type="autofit"/>
        <w:tblCellMar>
          <w:top w:w="0" w:type="dxa"/>
          <w:left w:w="108" w:type="dxa"/>
          <w:bottom w:w="0" w:type="dxa"/>
          <w:right w:w="108" w:type="dxa"/>
        </w:tblCellMar>
      </w:tblPr>
      <w:tblGrid>
        <w:gridCol w:w="1080"/>
        <w:gridCol w:w="1080"/>
        <w:gridCol w:w="1100"/>
        <w:gridCol w:w="1100"/>
        <w:gridCol w:w="1140"/>
        <w:gridCol w:w="1140"/>
        <w:gridCol w:w="1100"/>
        <w:gridCol w:w="1100"/>
      </w:tblGrid>
      <w:tr>
        <w:tblPrEx>
          <w:tblCellMar>
            <w:top w:w="0" w:type="dxa"/>
            <w:left w:w="108" w:type="dxa"/>
            <w:bottom w:w="0" w:type="dxa"/>
            <w:right w:w="108" w:type="dxa"/>
          </w:tblCellMar>
        </w:tblPrEx>
        <w:trPr>
          <w:trHeight w:val="614"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2021</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2023</w:t>
            </w:r>
            <w:r>
              <w:rPr>
                <w:rFonts w:hint="eastAsia" w:ascii="仿宋_GB2312" w:hAnsi="Times New Roman" w:eastAsia="仿宋_GB2312" w:cs="Times New Roman"/>
                <w:b/>
                <w:bCs/>
                <w:color w:val="000000"/>
                <w:kern w:val="0"/>
                <w:sz w:val="22"/>
              </w:rPr>
              <w:t>年</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2024</w:t>
            </w:r>
            <w:r>
              <w:rPr>
                <w:rFonts w:hint="eastAsia" w:ascii="仿宋_GB2312" w:hAnsi="Times New Roman" w:eastAsia="仿宋_GB2312" w:cs="Times New Roman"/>
                <w:b/>
                <w:bCs/>
                <w:color w:val="000000"/>
                <w:kern w:val="0"/>
                <w:sz w:val="22"/>
              </w:rPr>
              <w:t>年</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300"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81.5333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27.2271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27.1531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27.1531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龙湖区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濠江区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潮阳区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潮南区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澄海区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南澳县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台山市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74.8666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24.9884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24.9391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24.9391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坡头区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麻章区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遂溪县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徐闻县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雷州市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33.3333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11.1275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11.1029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11.1029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吴川市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41.5333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13.8609 </w:t>
            </w:r>
          </w:p>
        </w:tc>
        <w:tc>
          <w:tcPr>
            <w:tcW w:w="110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13.8362 </w:t>
            </w:r>
          </w:p>
        </w:tc>
        <w:tc>
          <w:tcPr>
            <w:tcW w:w="1100" w:type="dxa"/>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13.8362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电白区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6.6667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2.2387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2.2140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2.2140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惠东县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6.6667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2.2387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2.2140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2.2140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城区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海丰县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陆丰市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江城区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阳东区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阳西县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饶平县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惠来县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bl>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spacing w:val="-4"/>
          <w:sz w:val="28"/>
          <w:szCs w:val="28"/>
        </w:rPr>
      </w:pPr>
      <w:r>
        <w:rPr>
          <w:rFonts w:ascii="Times New Roman" w:hAnsi="Times New Roman" w:cs="Times New Roman"/>
          <w:spacing w:val="-4"/>
          <w:sz w:val="28"/>
          <w:szCs w:val="28"/>
        </w:rPr>
        <w:t>附表</w:t>
      </w:r>
      <w:r>
        <w:rPr>
          <w:rFonts w:ascii="Times New Roman" w:hAnsi="Times New Roman" w:cs="Times New Roman"/>
          <w:spacing w:val="-4"/>
          <w:sz w:val="28"/>
          <w:szCs w:val="28"/>
        </w:rPr>
        <w:fldChar w:fldCharType="begin"/>
      </w:r>
      <w:r>
        <w:rPr>
          <w:rFonts w:ascii="Times New Roman" w:hAnsi="Times New Roman" w:cs="Times New Roman"/>
          <w:spacing w:val="-4"/>
          <w:sz w:val="28"/>
          <w:szCs w:val="28"/>
        </w:rPr>
        <w:instrText xml:space="preserve"> SEQ 附表 \* ARABIC </w:instrText>
      </w:r>
      <w:r>
        <w:rPr>
          <w:rFonts w:ascii="Times New Roman" w:hAnsi="Times New Roman" w:cs="Times New Roman"/>
          <w:spacing w:val="-4"/>
          <w:sz w:val="28"/>
          <w:szCs w:val="28"/>
        </w:rPr>
        <w:fldChar w:fldCharType="separate"/>
      </w:r>
      <w:r>
        <w:rPr>
          <w:rFonts w:ascii="Times New Roman" w:hAnsi="Times New Roman" w:cs="Times New Roman"/>
          <w:spacing w:val="-4"/>
          <w:sz w:val="28"/>
          <w:szCs w:val="28"/>
        </w:rPr>
        <w:t>8</w:t>
      </w:r>
      <w:r>
        <w:rPr>
          <w:rFonts w:ascii="Times New Roman" w:hAnsi="Times New Roman" w:cs="Times New Roman"/>
          <w:spacing w:val="-4"/>
          <w:sz w:val="28"/>
          <w:szCs w:val="28"/>
        </w:rPr>
        <w:fldChar w:fldCharType="end"/>
      </w:r>
      <w:r>
        <w:rPr>
          <w:rFonts w:ascii="Times New Roman" w:hAnsi="Times New Roman" w:cs="Times New Roman"/>
          <w:spacing w:val="-4"/>
          <w:sz w:val="28"/>
          <w:szCs w:val="28"/>
        </w:rPr>
        <w:t xml:space="preserve">  广东省防沙治沙规划封山（沙）育林（草）按年度实施规划表</w:t>
      </w:r>
    </w:p>
    <w:p>
      <w:pPr>
        <w:jc w:val="right"/>
        <w:rPr>
          <w:rFonts w:ascii="仿宋_GB2312" w:eastAsia="仿宋_GB2312"/>
        </w:rPr>
      </w:pPr>
      <w:r>
        <w:rPr>
          <w:rFonts w:hint="eastAsia" w:ascii="仿宋_GB2312" w:eastAsia="仿宋_GB2312"/>
        </w:rPr>
        <w:t>单位：公顷</w:t>
      </w:r>
    </w:p>
    <w:tbl>
      <w:tblPr>
        <w:tblStyle w:val="26"/>
        <w:tblW w:w="8840" w:type="dxa"/>
        <w:jc w:val="center"/>
        <w:tblLayout w:type="autofit"/>
        <w:tblCellMar>
          <w:top w:w="0" w:type="dxa"/>
          <w:left w:w="108" w:type="dxa"/>
          <w:bottom w:w="0" w:type="dxa"/>
          <w:right w:w="108" w:type="dxa"/>
        </w:tblCellMar>
      </w:tblPr>
      <w:tblGrid>
        <w:gridCol w:w="1080"/>
        <w:gridCol w:w="1080"/>
        <w:gridCol w:w="1100"/>
        <w:gridCol w:w="1100"/>
        <w:gridCol w:w="1100"/>
        <w:gridCol w:w="1140"/>
        <w:gridCol w:w="1100"/>
        <w:gridCol w:w="1140"/>
      </w:tblGrid>
      <w:tr>
        <w:tblPrEx>
          <w:tblCellMar>
            <w:top w:w="0" w:type="dxa"/>
            <w:left w:w="108" w:type="dxa"/>
            <w:bottom w:w="0" w:type="dxa"/>
            <w:right w:w="108" w:type="dxa"/>
          </w:tblCellMar>
        </w:tblPrEx>
        <w:trPr>
          <w:trHeight w:val="614"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2021</w:t>
            </w:r>
            <w:r>
              <w:rPr>
                <w:rFonts w:hint="eastAsia" w:ascii="仿宋_GB2312" w:hAnsi="Times New Roman" w:eastAsia="仿宋_GB2312" w:cs="Times New Roman"/>
                <w:b/>
                <w:bCs/>
                <w:color w:val="000000"/>
                <w:kern w:val="0"/>
                <w:sz w:val="22"/>
              </w:rPr>
              <w:t>年</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2023</w:t>
            </w:r>
            <w:r>
              <w:rPr>
                <w:rFonts w:hint="eastAsia" w:ascii="仿宋_GB2312" w:hAnsi="Times New Roman" w:eastAsia="仿宋_GB2312" w:cs="Times New Roman"/>
                <w:b/>
                <w:bCs/>
                <w:color w:val="000000"/>
                <w:kern w:val="0"/>
                <w:sz w:val="22"/>
              </w:rPr>
              <w:t>年</w:t>
            </w:r>
          </w:p>
        </w:tc>
        <w:tc>
          <w:tcPr>
            <w:tcW w:w="11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2024</w:t>
            </w:r>
            <w:r>
              <w:rPr>
                <w:rFonts w:hint="eastAsia" w:ascii="仿宋_GB2312" w:hAnsi="Times New Roman" w:eastAsia="仿宋_GB2312" w:cs="Times New Roman"/>
                <w:b/>
                <w:bCs/>
                <w:color w:val="000000"/>
                <w:kern w:val="0"/>
                <w:sz w:val="22"/>
              </w:rPr>
              <w:t>年</w:t>
            </w:r>
          </w:p>
        </w:tc>
        <w:tc>
          <w:tcPr>
            <w:tcW w:w="11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300"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43.3334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14.5922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14.3706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14.3706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龙湖区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濠江区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潮阳区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潮南区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澄海区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南澳县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台山市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43.3334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14.5922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14.3706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14.3706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坡头区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麻章区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000000"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000000"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遂溪县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徐闻县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雷州市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33.3334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11.1850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11.0742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11.0742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吴川市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10.0000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3.4072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3.2964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3.2964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电白区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惠东县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城区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000000"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海丰县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陆丰市</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000000"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江城区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阳东区</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阳西县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饶平县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惠来县</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0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1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bl>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t xml:space="preserve">  广东省防沙治沙规划森林抚育按年度实施规划表</w:t>
      </w:r>
    </w:p>
    <w:p>
      <w:pPr>
        <w:jc w:val="right"/>
        <w:rPr>
          <w:rFonts w:ascii="仿宋_GB2312" w:eastAsia="仿宋_GB2312"/>
        </w:rPr>
      </w:pPr>
      <w:r>
        <w:rPr>
          <w:rFonts w:hint="eastAsia" w:ascii="仿宋_GB2312" w:eastAsia="仿宋_GB2312"/>
        </w:rPr>
        <w:t>单位：公顷</w:t>
      </w:r>
    </w:p>
    <w:tbl>
      <w:tblPr>
        <w:tblStyle w:val="26"/>
        <w:tblW w:w="9700" w:type="dxa"/>
        <w:jc w:val="center"/>
        <w:tblLayout w:type="autofit"/>
        <w:tblCellMar>
          <w:top w:w="0" w:type="dxa"/>
          <w:left w:w="108" w:type="dxa"/>
          <w:bottom w:w="0" w:type="dxa"/>
          <w:right w:w="108" w:type="dxa"/>
        </w:tblCellMar>
      </w:tblPr>
      <w:tblGrid>
        <w:gridCol w:w="1080"/>
        <w:gridCol w:w="1080"/>
        <w:gridCol w:w="1680"/>
        <w:gridCol w:w="1260"/>
        <w:gridCol w:w="1260"/>
        <w:gridCol w:w="1260"/>
        <w:gridCol w:w="1041"/>
        <w:gridCol w:w="1041"/>
      </w:tblGrid>
      <w:tr>
        <w:tblPrEx>
          <w:tblCellMar>
            <w:top w:w="0" w:type="dxa"/>
            <w:left w:w="108" w:type="dxa"/>
            <w:bottom w:w="0" w:type="dxa"/>
            <w:right w:w="108" w:type="dxa"/>
          </w:tblCellMar>
        </w:tblPrEx>
        <w:trPr>
          <w:trHeight w:val="614"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16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2021</w:t>
            </w:r>
            <w:r>
              <w:rPr>
                <w:rFonts w:hint="eastAsia" w:ascii="仿宋_GB2312" w:hAnsi="Times New Roman" w:eastAsia="仿宋_GB2312" w:cs="Times New Roman"/>
                <w:b/>
                <w:bCs/>
                <w:color w:val="000000"/>
                <w:kern w:val="0"/>
                <w:sz w:val="22"/>
              </w:rPr>
              <w:t>年</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w:t>
            </w:r>
            <w:r>
              <w:rPr>
                <w:rFonts w:hint="eastAsia" w:ascii="仿宋_GB2312" w:hAnsi="Times New Roman" w:eastAsia="仿宋_GB2312" w:cs="Times New Roman"/>
                <w:b/>
                <w:bCs/>
                <w:color w:val="000000"/>
                <w:kern w:val="0"/>
                <w:sz w:val="22"/>
              </w:rPr>
              <w:t>年</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2023</w:t>
            </w:r>
            <w:r>
              <w:rPr>
                <w:rFonts w:hint="eastAsia" w:ascii="仿宋_GB2312" w:hAnsi="Times New Roman" w:eastAsia="仿宋_GB2312" w:cs="Times New Roman"/>
                <w:b/>
                <w:bCs/>
                <w:color w:val="000000"/>
                <w:kern w:val="0"/>
                <w:sz w:val="22"/>
              </w:rPr>
              <w:t>年</w:t>
            </w:r>
          </w:p>
        </w:tc>
        <w:tc>
          <w:tcPr>
            <w:tcW w:w="1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2024</w:t>
            </w:r>
            <w:r>
              <w:rPr>
                <w:rFonts w:hint="eastAsia" w:ascii="仿宋_GB2312" w:hAnsi="Times New Roman" w:eastAsia="仿宋_GB2312" w:cs="Times New Roman"/>
                <w:b/>
                <w:bCs/>
                <w:color w:val="000000"/>
                <w:kern w:val="0"/>
                <w:sz w:val="22"/>
              </w:rPr>
              <w:t>年</w:t>
            </w:r>
          </w:p>
        </w:tc>
        <w:tc>
          <w:tcPr>
            <w:tcW w:w="1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2025</w:t>
            </w:r>
            <w:r>
              <w:rPr>
                <w:rFonts w:hint="eastAsia" w:ascii="仿宋_GB2312" w:hAnsi="Times New Roman" w:eastAsia="仿宋_GB2312" w:cs="Times New Roman"/>
                <w:b/>
                <w:bCs/>
                <w:color w:val="000000"/>
                <w:kern w:val="0"/>
                <w:sz w:val="22"/>
              </w:rPr>
              <w:t>年</w:t>
            </w:r>
          </w:p>
        </w:tc>
      </w:tr>
      <w:tr>
        <w:tblPrEx>
          <w:tblCellMar>
            <w:top w:w="0" w:type="dxa"/>
            <w:left w:w="108" w:type="dxa"/>
            <w:bottom w:w="0" w:type="dxa"/>
            <w:right w:w="108" w:type="dxa"/>
          </w:tblCellMar>
        </w:tblPrEx>
        <w:trPr>
          <w:trHeight w:val="300" w:hRule="atLeast"/>
          <w:jc w:val="center"/>
        </w:trPr>
        <w:tc>
          <w:tcPr>
            <w:tcW w:w="21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1192.2668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397.5703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397.3483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397.3482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龙湖区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濠江区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潮阳区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潮南区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澄海区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南澳县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台山市</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564.6667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188.2714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188.1977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188.1976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坡头区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390.0000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130.0000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130.0000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130.0000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麻章区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33.3333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11.1357</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11.0988</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11.0988</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遂溪县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徐闻县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雷州市</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33.3334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11.1357</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11.0989</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11.0988</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吴川市</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108.0000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36.0000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36.0000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36.0000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2.6914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2.6543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2.6543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电白区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8.0000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2.6914</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2.6543</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2.6543</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5.5803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5.5432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5.5432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惠东县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5.5803</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5.5432</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5.5432</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122.2469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122.2099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122.2099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城区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海丰县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陆丰市</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366.6667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122.2469</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122.2099</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122.2099</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江城区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阳东区</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阳西县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饶平县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236.2667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78.7803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78.7432 </w:t>
            </w:r>
          </w:p>
        </w:tc>
        <w:tc>
          <w:tcPr>
            <w:tcW w:w="104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78.7432 </w:t>
            </w:r>
          </w:p>
        </w:tc>
      </w:tr>
      <w:tr>
        <w:tblPrEx>
          <w:tblCellMar>
            <w:top w:w="0" w:type="dxa"/>
            <w:left w:w="108" w:type="dxa"/>
            <w:bottom w:w="0" w:type="dxa"/>
            <w:right w:w="108" w:type="dxa"/>
          </w:tblCellMar>
        </w:tblPrEx>
        <w:trPr>
          <w:trHeight w:val="300"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惠来县</w:t>
            </w:r>
          </w:p>
        </w:tc>
        <w:tc>
          <w:tcPr>
            <w:tcW w:w="168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236.2667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126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78.7803</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78.7432</w:t>
            </w:r>
          </w:p>
        </w:tc>
        <w:tc>
          <w:tcPr>
            <w:tcW w:w="1040" w:type="dxa"/>
            <w:tcBorders>
              <w:top w:val="nil"/>
              <w:left w:val="nil"/>
              <w:bottom w:val="single" w:color="auto" w:sz="4" w:space="0"/>
              <w:right w:val="single" w:color="auto" w:sz="4" w:space="0"/>
            </w:tcBorders>
            <w:shd w:val="clear" w:color="auto" w:fill="auto"/>
            <w:noWrap/>
            <w:vAlign w:val="bottom"/>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78.7432</w:t>
            </w:r>
          </w:p>
        </w:tc>
      </w:tr>
    </w:tbl>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t xml:space="preserve">  广东省防沙治沙规划建设任务汇总表</w:t>
      </w:r>
    </w:p>
    <w:p>
      <w:pPr>
        <w:jc w:val="right"/>
        <w:rPr>
          <w:rFonts w:ascii="仿宋_GB2312" w:eastAsia="仿宋_GB2312"/>
        </w:rPr>
      </w:pPr>
      <w:r>
        <w:rPr>
          <w:rFonts w:hint="eastAsia" w:ascii="仿宋_GB2312" w:eastAsia="仿宋_GB2312"/>
        </w:rPr>
        <w:t>单位：公顷</w:t>
      </w:r>
    </w:p>
    <w:tbl>
      <w:tblPr>
        <w:tblStyle w:val="26"/>
        <w:tblW w:w="4838" w:type="pct"/>
        <w:jc w:val="center"/>
        <w:tblLayout w:type="autofit"/>
        <w:tblCellMar>
          <w:top w:w="0" w:type="dxa"/>
          <w:left w:w="108" w:type="dxa"/>
          <w:bottom w:w="0" w:type="dxa"/>
          <w:right w:w="108" w:type="dxa"/>
        </w:tblCellMar>
      </w:tblPr>
      <w:tblGrid>
        <w:gridCol w:w="1012"/>
        <w:gridCol w:w="1012"/>
        <w:gridCol w:w="1596"/>
        <w:gridCol w:w="1616"/>
        <w:gridCol w:w="1462"/>
        <w:gridCol w:w="1385"/>
        <w:gridCol w:w="1385"/>
        <w:gridCol w:w="1388"/>
        <w:gridCol w:w="1484"/>
        <w:gridCol w:w="1375"/>
      </w:tblGrid>
      <w:tr>
        <w:tblPrEx>
          <w:tblCellMar>
            <w:top w:w="0" w:type="dxa"/>
            <w:left w:w="108" w:type="dxa"/>
            <w:bottom w:w="0" w:type="dxa"/>
            <w:right w:w="108" w:type="dxa"/>
          </w:tblCellMar>
        </w:tblPrEx>
        <w:trPr>
          <w:trHeight w:val="475" w:hRule="atLeast"/>
          <w:tblHeader/>
          <w:jc w:val="center"/>
        </w:trPr>
        <w:tc>
          <w:tcPr>
            <w:tcW w:w="738"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统计单位</w:t>
            </w: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合计</w:t>
            </w:r>
          </w:p>
        </w:tc>
        <w:tc>
          <w:tcPr>
            <w:tcW w:w="5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color w:val="000000"/>
                <w:kern w:val="0"/>
                <w:sz w:val="22"/>
              </w:rPr>
            </w:pPr>
            <w:r>
              <w:rPr>
                <w:rFonts w:hint="eastAsia" w:ascii="仿宋_GB2312" w:hAnsi="等线" w:eastAsia="仿宋_GB2312" w:cs="宋体"/>
                <w:b/>
                <w:bCs/>
                <w:color w:val="000000"/>
                <w:kern w:val="0"/>
                <w:sz w:val="22"/>
              </w:rPr>
              <w:t>沙化土地防护</w:t>
            </w:r>
          </w:p>
        </w:tc>
        <w:tc>
          <w:tcPr>
            <w:tcW w:w="2049"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防风固沙林、护岸林和水土保持林建设等工程</w:t>
            </w:r>
          </w:p>
        </w:tc>
        <w:tc>
          <w:tcPr>
            <w:tcW w:w="5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森林抚育</w:t>
            </w:r>
          </w:p>
        </w:tc>
        <w:tc>
          <w:tcPr>
            <w:tcW w:w="50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kern w:val="0"/>
                <w:sz w:val="22"/>
              </w:rPr>
            </w:pPr>
            <w:r>
              <w:rPr>
                <w:rFonts w:hint="eastAsia" w:ascii="仿宋_GB2312" w:hAnsi="Times New Roman" w:eastAsia="仿宋_GB2312" w:cs="Times New Roman"/>
                <w:b/>
                <w:bCs/>
                <w:kern w:val="0"/>
                <w:sz w:val="22"/>
              </w:rPr>
              <w:t>封山（沙）育林（草）</w:t>
            </w:r>
          </w:p>
        </w:tc>
      </w:tr>
      <w:tr>
        <w:tblPrEx>
          <w:tblCellMar>
            <w:top w:w="0" w:type="dxa"/>
            <w:left w:w="108" w:type="dxa"/>
            <w:bottom w:w="0" w:type="dxa"/>
            <w:right w:w="108" w:type="dxa"/>
          </w:tblCellMar>
        </w:tblPrEx>
        <w:trPr>
          <w:trHeight w:val="438" w:hRule="atLeast"/>
          <w:tblHeader/>
          <w:jc w:val="center"/>
        </w:trPr>
        <w:tc>
          <w:tcPr>
            <w:tcW w:w="73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22"/>
              </w:rPr>
            </w:pPr>
          </w:p>
        </w:tc>
        <w:tc>
          <w:tcPr>
            <w:tcW w:w="58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22"/>
              </w:rPr>
            </w:pPr>
          </w:p>
        </w:tc>
        <w:tc>
          <w:tcPr>
            <w:tcW w:w="5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等线" w:eastAsia="仿宋_GB2312" w:cs="宋体"/>
                <w:b/>
                <w:bCs/>
                <w:color w:val="000000"/>
                <w:kern w:val="0"/>
                <w:sz w:val="22"/>
              </w:rPr>
            </w:pPr>
          </w:p>
        </w:tc>
        <w:tc>
          <w:tcPr>
            <w:tcW w:w="53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小计</w:t>
            </w:r>
          </w:p>
        </w:tc>
        <w:tc>
          <w:tcPr>
            <w:tcW w:w="505"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人工造林</w:t>
            </w:r>
          </w:p>
        </w:tc>
        <w:tc>
          <w:tcPr>
            <w:tcW w:w="505"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补植套种</w:t>
            </w:r>
          </w:p>
        </w:tc>
        <w:tc>
          <w:tcPr>
            <w:tcW w:w="505"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22"/>
              </w:rPr>
            </w:pPr>
            <w:r>
              <w:rPr>
                <w:rFonts w:hint="eastAsia" w:ascii="仿宋_GB2312" w:hAnsi="Times New Roman" w:eastAsia="仿宋_GB2312" w:cs="Times New Roman"/>
                <w:b/>
                <w:bCs/>
                <w:color w:val="000000"/>
                <w:kern w:val="0"/>
                <w:sz w:val="22"/>
              </w:rPr>
              <w:t>更新改造</w:t>
            </w:r>
          </w:p>
        </w:tc>
        <w:tc>
          <w:tcPr>
            <w:tcW w:w="54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22"/>
              </w:rPr>
            </w:pPr>
          </w:p>
        </w:tc>
        <w:tc>
          <w:tcPr>
            <w:tcW w:w="50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kern w:val="0"/>
                <w:sz w:val="22"/>
              </w:rPr>
            </w:pPr>
          </w:p>
        </w:tc>
      </w:tr>
      <w:tr>
        <w:tblPrEx>
          <w:tblCellMar>
            <w:top w:w="0" w:type="dxa"/>
            <w:left w:w="108" w:type="dxa"/>
            <w:bottom w:w="0" w:type="dxa"/>
            <w:right w:w="108" w:type="dxa"/>
          </w:tblCellMar>
        </w:tblPrEx>
        <w:trPr>
          <w:trHeight w:val="300" w:hRule="atLeast"/>
          <w:jc w:val="center"/>
        </w:trPr>
        <w:tc>
          <w:tcPr>
            <w:tcW w:w="73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广东省</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33944.7362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31468.0695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1241.0665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187.7600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971.7732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81.5333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1192.2668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43.3334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汕头市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1398.4251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1198.4251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龙湖区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20.6214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20.6214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濠江区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325.6581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325.6581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潮阳区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15.8426 </w:t>
            </w:r>
          </w:p>
        </w:tc>
        <w:tc>
          <w:tcPr>
            <w:tcW w:w="589" w:type="pct"/>
            <w:tcBorders>
              <w:top w:val="nil"/>
              <w:left w:val="nil"/>
              <w:bottom w:val="nil"/>
              <w:right w:val="nil"/>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2.5093 </w:t>
            </w:r>
          </w:p>
        </w:tc>
        <w:tc>
          <w:tcPr>
            <w:tcW w:w="533" w:type="pc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潮南区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937.6652 </w:t>
            </w:r>
          </w:p>
        </w:tc>
        <w:tc>
          <w:tcPr>
            <w:tcW w:w="589" w:type="pct"/>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750.9985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澄海区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92.2166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92.2166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南澳县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6.4212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6.4212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江门市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88.6694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88.6694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台山市</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88.6694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88.6694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湛江市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16090.3381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15200.3382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281.9998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183.7999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74.8666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564.6667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43.3334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坡头区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1899.8035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1433.1368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390.0000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麻章区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1133.0738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1043.0739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56.6666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33.3333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遂溪县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688.0198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688.0198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徐闻县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5864.0871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5864.0871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雷州市</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4952.0953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4785.4286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99.9999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66.6666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33.3333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33.3334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33.3334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吴川市</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1553.2585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1386.5919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48.6666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7.1333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41.5333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108.0000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10.0000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茂名市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1667.8682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1634.5349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8.0000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电白区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1667.8682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1634.5349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8.0000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惠州市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44.5202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11.1868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6.6667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惠东县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44.5202 </w:t>
            </w:r>
          </w:p>
        </w:tc>
        <w:tc>
          <w:tcPr>
            <w:tcW w:w="589" w:type="pct"/>
            <w:tcBorders>
              <w:top w:val="nil"/>
              <w:left w:val="nil"/>
              <w:bottom w:val="nil"/>
              <w:right w:val="nil"/>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11.1868 </w:t>
            </w:r>
          </w:p>
        </w:tc>
        <w:tc>
          <w:tcPr>
            <w:tcW w:w="533" w:type="pc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6.6667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16.6667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汕尾市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8463.5918 </w:t>
            </w:r>
          </w:p>
        </w:tc>
        <w:tc>
          <w:tcPr>
            <w:tcW w:w="589" w:type="pct"/>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7663.5918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433.3333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7.2000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426.1333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366.6667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城区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1159.9684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926.6351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海丰县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380.8539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247.5206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133.3333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7.2000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126.1333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陆丰市</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6922.7696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6489.4362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66.6667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366.6667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阳江市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2107.5422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2107.5422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江城区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340.8436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340.8436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阳东区</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259.6083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259.6083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阳西县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1507.0903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1507.0903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潮州市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922.1536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902.1536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饶平县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922.1536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902.1536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20.0000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揭阳市</w:t>
            </w: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合计</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3161.6277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2661.6276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263.7334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157.2267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106.5067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236.2667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r>
        <w:tblPrEx>
          <w:tblCellMar>
            <w:top w:w="0" w:type="dxa"/>
            <w:left w:w="108" w:type="dxa"/>
            <w:bottom w:w="0" w:type="dxa"/>
            <w:right w:w="108" w:type="dxa"/>
          </w:tblCellMar>
        </w:tblPrEx>
        <w:trPr>
          <w:trHeight w:val="300" w:hRule="atLeast"/>
          <w:jc w:val="center"/>
        </w:trPr>
        <w:tc>
          <w:tcPr>
            <w:tcW w:w="369"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369"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hint="eastAsia" w:ascii="仿宋_GB2312" w:hAnsi="Times New Roman" w:eastAsia="仿宋_GB2312" w:cs="Times New Roman"/>
                <w:color w:val="000000"/>
                <w:kern w:val="0"/>
                <w:sz w:val="22"/>
              </w:rPr>
              <w:t>惠来县</w:t>
            </w:r>
          </w:p>
        </w:tc>
        <w:tc>
          <w:tcPr>
            <w:tcW w:w="58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3161.6277 </w:t>
            </w:r>
          </w:p>
        </w:tc>
        <w:tc>
          <w:tcPr>
            <w:tcW w:w="589"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2661.6276 </w:t>
            </w:r>
          </w:p>
        </w:tc>
        <w:tc>
          <w:tcPr>
            <w:tcW w:w="53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263.7334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157.2267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106.5067 </w:t>
            </w:r>
          </w:p>
        </w:tc>
        <w:tc>
          <w:tcPr>
            <w:tcW w:w="505"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54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xml:space="preserve">236.2667 </w:t>
            </w:r>
          </w:p>
        </w:tc>
        <w:tc>
          <w:tcPr>
            <w:tcW w:w="502"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r>
    </w:tbl>
    <w:p>
      <w:pPr>
        <w:spacing w:line="560" w:lineRule="exact"/>
        <w:rPr>
          <w:rFonts w:ascii="Times New Roman" w:hAnsi="Times New Roman" w:eastAsia="仿宋_GB2312" w:cs="Times New Roman"/>
          <w:color w:val="000000" w:themeColor="text1"/>
          <w:sz w:val="30"/>
          <w:szCs w:val="30"/>
        </w:rPr>
        <w:sectPr>
          <w:pgSz w:w="16838" w:h="11906" w:orient="landscape"/>
          <w:pgMar w:top="1800" w:right="1440" w:bottom="1800" w:left="1440" w:header="851" w:footer="992" w:gutter="0"/>
          <w:cols w:space="425" w:num="1"/>
          <w:docGrid w:type="lines" w:linePitch="312" w:charSpace="0"/>
        </w:sectPr>
      </w:pPr>
    </w:p>
    <w:p>
      <w:pPr>
        <w:pStyle w:val="7"/>
        <w:keepNext/>
        <w:jc w:val="center"/>
        <w:outlineLvl w:val="0"/>
        <w:rPr>
          <w:rFonts w:ascii="Times New Roman" w:hAnsi="Times New Roman" w:cs="Times New Roman"/>
          <w:color w:val="000000" w:themeColor="text1"/>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广东省防沙治沙工程2023年建设任务规划表</w:t>
      </w:r>
    </w:p>
    <w:p>
      <w:pPr>
        <w:jc w:val="right"/>
        <w:rPr>
          <w:rFonts w:ascii="仿宋_GB2312" w:eastAsia="仿宋_GB2312"/>
        </w:rPr>
      </w:pPr>
      <w:r>
        <w:rPr>
          <w:rFonts w:hint="eastAsia" w:ascii="仿宋_GB2312" w:eastAsia="仿宋_GB2312"/>
        </w:rPr>
        <w:t>单位：公顷</w:t>
      </w:r>
    </w:p>
    <w:tbl>
      <w:tblPr>
        <w:tblStyle w:val="26"/>
        <w:tblW w:w="5000" w:type="pct"/>
        <w:tblInd w:w="0" w:type="dxa"/>
        <w:tblLayout w:type="autofit"/>
        <w:tblCellMar>
          <w:top w:w="0" w:type="dxa"/>
          <w:left w:w="108" w:type="dxa"/>
          <w:bottom w:w="0" w:type="dxa"/>
          <w:right w:w="108" w:type="dxa"/>
        </w:tblCellMar>
      </w:tblPr>
      <w:tblGrid>
        <w:gridCol w:w="866"/>
        <w:gridCol w:w="868"/>
        <w:gridCol w:w="891"/>
        <w:gridCol w:w="891"/>
        <w:gridCol w:w="939"/>
        <w:gridCol w:w="939"/>
        <w:gridCol w:w="1087"/>
        <w:gridCol w:w="939"/>
        <w:gridCol w:w="1102"/>
      </w:tblGrid>
      <w:tr>
        <w:tblPrEx>
          <w:tblCellMar>
            <w:top w:w="0" w:type="dxa"/>
            <w:left w:w="108" w:type="dxa"/>
            <w:bottom w:w="0" w:type="dxa"/>
            <w:right w:w="108" w:type="dxa"/>
          </w:tblCellMar>
        </w:tblPrEx>
        <w:trPr>
          <w:trHeight w:val="285" w:hRule="atLeast"/>
        </w:trPr>
        <w:tc>
          <w:tcPr>
            <w:tcW w:w="106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统计单位</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合计</w:t>
            </w:r>
          </w:p>
        </w:tc>
        <w:tc>
          <w:tcPr>
            <w:tcW w:w="2211" w:type="pct"/>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防风固沙林、护岸林和水土保持林建设等工程</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森林抚育</w:t>
            </w:r>
          </w:p>
        </w:tc>
        <w:tc>
          <w:tcPr>
            <w:tcW w:w="6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kern w:val="0"/>
                <w:sz w:val="18"/>
                <w:szCs w:val="18"/>
              </w:rPr>
            </w:pPr>
            <w:r>
              <w:rPr>
                <w:rFonts w:hint="eastAsia" w:ascii="仿宋_GB2312" w:hAnsi="Times New Roman" w:eastAsia="仿宋_GB2312" w:cs="Times New Roman"/>
                <w:b/>
                <w:bCs/>
                <w:kern w:val="0"/>
                <w:sz w:val="18"/>
                <w:szCs w:val="18"/>
              </w:rPr>
              <w:t>封山（沙）育林（草）</w:t>
            </w:r>
          </w:p>
        </w:tc>
      </w:tr>
      <w:tr>
        <w:tblPrEx>
          <w:tblCellMar>
            <w:top w:w="0" w:type="dxa"/>
            <w:left w:w="108" w:type="dxa"/>
            <w:bottom w:w="0" w:type="dxa"/>
            <w:right w:w="108" w:type="dxa"/>
          </w:tblCellMar>
        </w:tblPrEx>
        <w:trPr>
          <w:trHeight w:val="292" w:hRule="atLeast"/>
        </w:trPr>
        <w:tc>
          <w:tcPr>
            <w:tcW w:w="106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51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小计</w:t>
            </w:r>
          </w:p>
        </w:tc>
        <w:tc>
          <w:tcPr>
            <w:tcW w:w="51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人工造林</w:t>
            </w:r>
          </w:p>
        </w:tc>
        <w:tc>
          <w:tcPr>
            <w:tcW w:w="51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补植套种</w:t>
            </w:r>
          </w:p>
        </w:tc>
        <w:tc>
          <w:tcPr>
            <w:tcW w:w="67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更新改造</w:t>
            </w: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kern w:val="0"/>
                <w:sz w:val="18"/>
                <w:szCs w:val="18"/>
              </w:rPr>
            </w:pPr>
          </w:p>
        </w:tc>
      </w:tr>
      <w:tr>
        <w:tblPrEx>
          <w:tblCellMar>
            <w:top w:w="0" w:type="dxa"/>
            <w:left w:w="108" w:type="dxa"/>
            <w:bottom w:w="0" w:type="dxa"/>
            <w:right w:w="108" w:type="dxa"/>
          </w:tblCellMar>
        </w:tblPrEx>
        <w:trPr>
          <w:trHeight w:val="300" w:hRule="atLeast"/>
        </w:trPr>
        <w:tc>
          <w:tcPr>
            <w:tcW w:w="106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广东省</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826.0000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413.8375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62.6360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323.9744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27.2271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397.5703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14.5922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汕头市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66.6750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66.6750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66.6750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龙湖区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濠江区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潮阳区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4.4486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4.4486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4.4486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潮南区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62.2264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62.2264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62.2264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澄海区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南澳县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江门市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台山市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湛江市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296.9294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94.0658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7.7943</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61.2831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24.9884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188.2714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14.5922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坡头区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155.5596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25.5596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25.5596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130.0000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麻章区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30.0452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18.9095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7.7943</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11.1152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11.1357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遂溪县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徐闻县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雷州市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55.6745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33.3538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22.2263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11.1275 </w:t>
            </w:r>
          </w:p>
        </w:tc>
        <w:tc>
          <w:tcPr>
            <w:tcW w:w="530" w:type="pct"/>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11.1357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11.1850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吴川市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55.6501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16.2429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2.3820 </w:t>
            </w:r>
          </w:p>
        </w:tc>
        <w:tc>
          <w:tcPr>
            <w:tcW w:w="674"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13.8609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36.0000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3.4072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茂名市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11.1400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8.4486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8.4486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2.6914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电白区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11.1400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8.4486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8.4486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2.6914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11.1565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5.5762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3.3375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2.2387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5.5803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惠东县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11.1565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5.5762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3.3375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2.2387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5.5803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汕尾市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266.7203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144.4734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2.4164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142.0570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122.2469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城区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77.7820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77.7820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77.7820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海丰县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44.4650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44.4650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2.4164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42.0486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陆丰市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144.4733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22.2264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22.2264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122.2469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阳江市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江城区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阳东区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阳西县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6.6709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6.6709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6.6709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饶平县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6.6709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6.6709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6.6709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揭阳市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166.7079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87.9276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52.4253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35.5023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78.7803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惠来县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166.7079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87.9276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52.4253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35.5023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78.7803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bl>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color w:val="000000" w:themeColor="text1"/>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广东省防沙治沙工程2024年建设任务规划表</w:t>
      </w:r>
    </w:p>
    <w:p>
      <w:pPr>
        <w:jc w:val="right"/>
        <w:rPr>
          <w:rFonts w:ascii="仿宋_GB2312" w:eastAsia="仿宋_GB2312"/>
        </w:rPr>
      </w:pPr>
      <w:r>
        <w:rPr>
          <w:rFonts w:hint="eastAsia" w:ascii="仿宋_GB2312" w:eastAsia="仿宋_GB2312"/>
        </w:rPr>
        <w:t>单位：公顷</w:t>
      </w:r>
    </w:p>
    <w:tbl>
      <w:tblPr>
        <w:tblStyle w:val="26"/>
        <w:tblW w:w="5000" w:type="pct"/>
        <w:jc w:val="center"/>
        <w:tblLayout w:type="autofit"/>
        <w:tblCellMar>
          <w:top w:w="0" w:type="dxa"/>
          <w:left w:w="108" w:type="dxa"/>
          <w:bottom w:w="0" w:type="dxa"/>
          <w:right w:w="108" w:type="dxa"/>
        </w:tblCellMar>
      </w:tblPr>
      <w:tblGrid>
        <w:gridCol w:w="866"/>
        <w:gridCol w:w="868"/>
        <w:gridCol w:w="891"/>
        <w:gridCol w:w="891"/>
        <w:gridCol w:w="939"/>
        <w:gridCol w:w="939"/>
        <w:gridCol w:w="1087"/>
        <w:gridCol w:w="939"/>
        <w:gridCol w:w="1102"/>
      </w:tblGrid>
      <w:tr>
        <w:trPr>
          <w:trHeight w:val="285" w:hRule="atLeast"/>
          <w:jc w:val="center"/>
        </w:trPr>
        <w:tc>
          <w:tcPr>
            <w:tcW w:w="106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统计单位</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合计</w:t>
            </w:r>
          </w:p>
        </w:tc>
        <w:tc>
          <w:tcPr>
            <w:tcW w:w="2211" w:type="pct"/>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防风固沙林、护岸林和水土保持林建设等工程</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森林抚育</w:t>
            </w:r>
          </w:p>
        </w:tc>
        <w:tc>
          <w:tcPr>
            <w:tcW w:w="6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kern w:val="0"/>
                <w:sz w:val="18"/>
                <w:szCs w:val="18"/>
              </w:rPr>
            </w:pPr>
            <w:r>
              <w:rPr>
                <w:rFonts w:hint="eastAsia" w:ascii="仿宋_GB2312" w:hAnsi="Times New Roman" w:eastAsia="仿宋_GB2312" w:cs="Times New Roman"/>
                <w:b/>
                <w:bCs/>
                <w:kern w:val="0"/>
                <w:sz w:val="18"/>
                <w:szCs w:val="18"/>
              </w:rPr>
              <w:t>封山（沙）育林（草）</w:t>
            </w:r>
          </w:p>
        </w:tc>
      </w:tr>
      <w:tr>
        <w:tblPrEx>
          <w:tblCellMar>
            <w:top w:w="0" w:type="dxa"/>
            <w:left w:w="108" w:type="dxa"/>
            <w:bottom w:w="0" w:type="dxa"/>
            <w:right w:w="108" w:type="dxa"/>
          </w:tblCellMar>
        </w:tblPrEx>
        <w:trPr>
          <w:trHeight w:val="60" w:hRule="atLeast"/>
          <w:jc w:val="center"/>
        </w:trPr>
        <w:tc>
          <w:tcPr>
            <w:tcW w:w="106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51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小计</w:t>
            </w:r>
          </w:p>
        </w:tc>
        <w:tc>
          <w:tcPr>
            <w:tcW w:w="51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人工造林</w:t>
            </w:r>
          </w:p>
        </w:tc>
        <w:tc>
          <w:tcPr>
            <w:tcW w:w="51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补植套种</w:t>
            </w:r>
          </w:p>
        </w:tc>
        <w:tc>
          <w:tcPr>
            <w:tcW w:w="67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更新改造</w:t>
            </w: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kern w:val="0"/>
                <w:sz w:val="18"/>
                <w:szCs w:val="18"/>
              </w:rPr>
            </w:pPr>
          </w:p>
        </w:tc>
      </w:tr>
      <w:tr>
        <w:tblPrEx>
          <w:tblCellMar>
            <w:top w:w="0" w:type="dxa"/>
            <w:left w:w="108" w:type="dxa"/>
            <w:bottom w:w="0" w:type="dxa"/>
            <w:right w:w="108" w:type="dxa"/>
          </w:tblCellMar>
        </w:tblPrEx>
        <w:trPr>
          <w:trHeight w:val="300" w:hRule="atLeast"/>
          <w:jc w:val="center"/>
        </w:trPr>
        <w:tc>
          <w:tcPr>
            <w:tcW w:w="106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广东省</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825.3334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413.6145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62.5620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323.8994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27.1531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397.3483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14.3706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汕头市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66.6625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66.6625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66.6625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龙湖区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濠江区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潮阳区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4.4424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4.4424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潮南区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62.2202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62.2202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62.2202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澄海区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南澳县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江门市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台山市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湛江市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296.5353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93.9670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7.7695</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61.2584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24.9391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188.1977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14.3706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坡头区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155.5536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25.5536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25.5536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130.0000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麻章区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29.9774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18.8786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7.7695</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11.1091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11.0988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遂溪县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徐闻县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雷州市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55.4962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33.3231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22.2202 </w:t>
            </w:r>
          </w:p>
        </w:tc>
        <w:tc>
          <w:tcPr>
            <w:tcW w:w="674"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11.1029 </w:t>
            </w:r>
          </w:p>
        </w:tc>
        <w:tc>
          <w:tcPr>
            <w:tcW w:w="530" w:type="pct"/>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11.0989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11.0742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吴川市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55.5083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16.2119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2.3757 </w:t>
            </w:r>
          </w:p>
        </w:tc>
        <w:tc>
          <w:tcPr>
            <w:tcW w:w="674"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13.8362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36.0000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3.2964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茂名市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11.0967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2.6543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电白区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11.0967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2.6543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11.0885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5.5453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3.3313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2.2140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惠东县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11.0885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5.5453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3.3313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2.2140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汕尾市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266.6399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144.4300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2.3918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142.0382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122.2099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城区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77.7757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77.7757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77.7757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海丰县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44.4342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44.4342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2.3918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42.0424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陆丰市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144.4301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22.2202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22.2202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122.2099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阳江市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江城区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阳东区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阳西县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饶平县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揭阳市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166.6461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87.9029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52.4007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35.5022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78.7432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惠来县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166.6461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87.9029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52.4007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35.5022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78.7432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bl>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pStyle w:val="7"/>
        <w:keepNext/>
        <w:jc w:val="center"/>
        <w:outlineLvl w:val="0"/>
        <w:rPr>
          <w:rFonts w:ascii="Times New Roman" w:hAnsi="Times New Roman" w:cs="Times New Roman"/>
          <w:color w:val="000000" w:themeColor="text1"/>
          <w:sz w:val="28"/>
          <w:szCs w:val="28"/>
        </w:rPr>
      </w:pPr>
      <w:r>
        <w:rPr>
          <w:rFonts w:ascii="Times New Roman" w:hAnsi="Times New Roman" w:cs="Times New Roman"/>
          <w:sz w:val="28"/>
          <w:szCs w:val="28"/>
        </w:rPr>
        <w:t>附表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附表 \* ARABIC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广东省防沙治沙工程2025年建设任务规划表</w:t>
      </w:r>
    </w:p>
    <w:p>
      <w:pPr>
        <w:jc w:val="right"/>
        <w:rPr>
          <w:rFonts w:ascii="仿宋_GB2312" w:eastAsia="仿宋_GB2312"/>
        </w:rPr>
      </w:pPr>
      <w:r>
        <w:rPr>
          <w:rFonts w:hint="eastAsia" w:ascii="仿宋_GB2312" w:eastAsia="仿宋_GB2312"/>
        </w:rPr>
        <w:t>单位：公顷</w:t>
      </w:r>
    </w:p>
    <w:tbl>
      <w:tblPr>
        <w:tblStyle w:val="26"/>
        <w:tblW w:w="5000" w:type="pct"/>
        <w:jc w:val="center"/>
        <w:tblLayout w:type="autofit"/>
        <w:tblCellMar>
          <w:top w:w="0" w:type="dxa"/>
          <w:left w:w="108" w:type="dxa"/>
          <w:bottom w:w="0" w:type="dxa"/>
          <w:right w:w="108" w:type="dxa"/>
        </w:tblCellMar>
      </w:tblPr>
      <w:tblGrid>
        <w:gridCol w:w="866"/>
        <w:gridCol w:w="868"/>
        <w:gridCol w:w="891"/>
        <w:gridCol w:w="891"/>
        <w:gridCol w:w="939"/>
        <w:gridCol w:w="939"/>
        <w:gridCol w:w="1087"/>
        <w:gridCol w:w="939"/>
        <w:gridCol w:w="1102"/>
      </w:tblGrid>
      <w:tr>
        <w:tblPrEx>
          <w:tblCellMar>
            <w:top w:w="0" w:type="dxa"/>
            <w:left w:w="108" w:type="dxa"/>
            <w:bottom w:w="0" w:type="dxa"/>
            <w:right w:w="108" w:type="dxa"/>
          </w:tblCellMar>
        </w:tblPrEx>
        <w:trPr>
          <w:trHeight w:val="285" w:hRule="atLeast"/>
          <w:jc w:val="center"/>
        </w:trPr>
        <w:tc>
          <w:tcPr>
            <w:tcW w:w="106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统计单位</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合计</w:t>
            </w:r>
          </w:p>
        </w:tc>
        <w:tc>
          <w:tcPr>
            <w:tcW w:w="2211" w:type="pct"/>
            <w:gridSpan w:val="4"/>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防风固沙林、护岸林和水土保持林建设等工程</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森林抚育</w:t>
            </w:r>
          </w:p>
        </w:tc>
        <w:tc>
          <w:tcPr>
            <w:tcW w:w="6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b/>
                <w:bCs/>
                <w:kern w:val="0"/>
                <w:sz w:val="18"/>
                <w:szCs w:val="18"/>
              </w:rPr>
            </w:pPr>
            <w:r>
              <w:rPr>
                <w:rFonts w:hint="eastAsia" w:ascii="仿宋_GB2312" w:hAnsi="Times New Roman" w:eastAsia="仿宋_GB2312" w:cs="Times New Roman"/>
                <w:b/>
                <w:bCs/>
                <w:kern w:val="0"/>
                <w:sz w:val="18"/>
                <w:szCs w:val="18"/>
              </w:rPr>
              <w:t>封山（沙）育林（草）</w:t>
            </w:r>
          </w:p>
        </w:tc>
      </w:tr>
      <w:tr>
        <w:tblPrEx>
          <w:tblCellMar>
            <w:top w:w="0" w:type="dxa"/>
            <w:left w:w="108" w:type="dxa"/>
            <w:bottom w:w="0" w:type="dxa"/>
            <w:right w:w="108" w:type="dxa"/>
          </w:tblCellMar>
        </w:tblPrEx>
        <w:trPr>
          <w:trHeight w:val="60" w:hRule="atLeast"/>
          <w:jc w:val="center"/>
        </w:trPr>
        <w:tc>
          <w:tcPr>
            <w:tcW w:w="106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511"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小计</w:t>
            </w:r>
          </w:p>
        </w:tc>
        <w:tc>
          <w:tcPr>
            <w:tcW w:w="51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人工造林</w:t>
            </w:r>
          </w:p>
        </w:tc>
        <w:tc>
          <w:tcPr>
            <w:tcW w:w="513"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补植套种</w:t>
            </w:r>
          </w:p>
        </w:tc>
        <w:tc>
          <w:tcPr>
            <w:tcW w:w="67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b/>
                <w:bCs/>
                <w:color w:val="000000"/>
                <w:kern w:val="0"/>
                <w:sz w:val="18"/>
                <w:szCs w:val="18"/>
              </w:rPr>
            </w:pPr>
            <w:r>
              <w:rPr>
                <w:rFonts w:hint="eastAsia" w:ascii="仿宋_GB2312" w:hAnsi="Times New Roman" w:eastAsia="仿宋_GB2312" w:cs="Times New Roman"/>
                <w:b/>
                <w:bCs/>
                <w:color w:val="000000"/>
                <w:kern w:val="0"/>
                <w:sz w:val="18"/>
                <w:szCs w:val="18"/>
              </w:rPr>
              <w:t>更新改造</w:t>
            </w: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color w:val="000000"/>
                <w:kern w:val="0"/>
                <w:sz w:val="18"/>
                <w:szCs w:val="18"/>
              </w:rPr>
            </w:pPr>
          </w:p>
        </w:tc>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b/>
                <w:bCs/>
                <w:kern w:val="0"/>
                <w:sz w:val="18"/>
                <w:szCs w:val="18"/>
              </w:rPr>
            </w:pPr>
          </w:p>
        </w:tc>
      </w:tr>
      <w:tr>
        <w:tblPrEx>
          <w:tblCellMar>
            <w:top w:w="0" w:type="dxa"/>
            <w:left w:w="108" w:type="dxa"/>
            <w:bottom w:w="0" w:type="dxa"/>
            <w:right w:w="108" w:type="dxa"/>
          </w:tblCellMar>
        </w:tblPrEx>
        <w:trPr>
          <w:trHeight w:val="300" w:hRule="atLeast"/>
          <w:jc w:val="center"/>
        </w:trPr>
        <w:tc>
          <w:tcPr>
            <w:tcW w:w="106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广东省</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825.3333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413.6145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62.5620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323.8994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27.1531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397.3482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14.3706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汕头市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66.6625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66.6625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66.6625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龙湖区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濠江区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潮阳区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4.4424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4.4424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潮南区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62.2202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62.2202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62.2202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澄海区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南澳县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江门市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台山市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湛江市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296.5352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93.9670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7.7695</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61.2584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24.9391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188.1976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14.3706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坡头区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155.5536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25.5536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25.5536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130.0000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麻章区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29.9774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18.8786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7.7695</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11.1091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11.0988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遂溪县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徐闻县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雷州市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55.4961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33.3231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22.2202 </w:t>
            </w:r>
          </w:p>
        </w:tc>
        <w:tc>
          <w:tcPr>
            <w:tcW w:w="674"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11.1029 </w:t>
            </w:r>
          </w:p>
        </w:tc>
        <w:tc>
          <w:tcPr>
            <w:tcW w:w="530" w:type="pct"/>
            <w:tcBorders>
              <w:top w:val="nil"/>
              <w:left w:val="nil"/>
              <w:bottom w:val="single" w:color="auto" w:sz="4" w:space="0"/>
              <w:right w:val="single" w:color="auto" w:sz="4" w:space="0"/>
            </w:tcBorders>
            <w:shd w:val="clear" w:color="000000"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11.0988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11.0742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吴川市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55.5083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16.2119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2.3757 </w:t>
            </w:r>
          </w:p>
        </w:tc>
        <w:tc>
          <w:tcPr>
            <w:tcW w:w="674"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13.8362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36.0000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3.2964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茂名市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11.0967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2.6543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电白区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11.0967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8.4424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2.6543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11.0885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5.5453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3.3313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2.2140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惠东县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11.0885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5.5453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3.3313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2.2140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5.5432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汕尾市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266.6399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144.4300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2.3918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142.0382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122.2099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城区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77.7757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77.7757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77.7757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海丰县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44.4342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44.4342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2.3918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42.0424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陆丰市</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144.4301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22.2202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22.2202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122.2099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阳江市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江城区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阳东区</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阳西县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潮州市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饶平县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6.6646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揭阳市</w:t>
            </w: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合计</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166.6461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87.9029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52.4007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35.5022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78.7432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r>
        <w:tblPrEx>
          <w:tblCellMar>
            <w:top w:w="0" w:type="dxa"/>
            <w:left w:w="108" w:type="dxa"/>
            <w:bottom w:w="0" w:type="dxa"/>
            <w:right w:w="108" w:type="dxa"/>
          </w:tblCellMar>
        </w:tblPrEx>
        <w:trPr>
          <w:trHeight w:val="300" w:hRule="atLeast"/>
          <w:jc w:val="center"/>
        </w:trPr>
        <w:tc>
          <w:tcPr>
            <w:tcW w:w="530"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18"/>
                <w:szCs w:val="18"/>
              </w:rPr>
            </w:pPr>
          </w:p>
        </w:tc>
        <w:tc>
          <w:tcPr>
            <w:tcW w:w="530"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hint="eastAsia" w:ascii="仿宋_GB2312" w:hAnsi="Times New Roman" w:eastAsia="仿宋_GB2312" w:cs="Times New Roman"/>
                <w:color w:val="000000"/>
                <w:kern w:val="0"/>
                <w:sz w:val="18"/>
                <w:szCs w:val="18"/>
              </w:rPr>
              <w:t>惠来县</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166.6461 </w:t>
            </w:r>
          </w:p>
        </w:tc>
        <w:tc>
          <w:tcPr>
            <w:tcW w:w="51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87.9029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52.4007 </w:t>
            </w:r>
          </w:p>
        </w:tc>
        <w:tc>
          <w:tcPr>
            <w:tcW w:w="513"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35.5022 </w:t>
            </w:r>
          </w:p>
        </w:tc>
        <w:tc>
          <w:tcPr>
            <w:tcW w:w="67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c>
          <w:tcPr>
            <w:tcW w:w="530"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xml:space="preserve">78.7432 </w:t>
            </w:r>
          </w:p>
        </w:tc>
        <w:tc>
          <w:tcPr>
            <w:tcW w:w="668"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　</w:t>
            </w:r>
          </w:p>
        </w:tc>
      </w:tr>
    </w:tbl>
    <w:p>
      <w:pPr>
        <w:jc w:val="right"/>
        <w:rPr>
          <w:rFonts w:ascii="仿宋_GB2312" w:eastAsia="仿宋_GB2312"/>
        </w:rPr>
      </w:pPr>
    </w:p>
    <w:p>
      <w:pPr>
        <w:spacing w:line="560" w:lineRule="exact"/>
        <w:rPr>
          <w:rFonts w:ascii="Times New Roman" w:hAnsi="Times New Roman" w:eastAsia="仿宋_GB2312" w:cs="Times New Roman"/>
          <w:color w:val="000000" w:themeColor="text1"/>
          <w:sz w:val="30"/>
          <w:szCs w:val="30"/>
        </w:rPr>
      </w:pPr>
    </w:p>
    <w:p>
      <w:pPr>
        <w:spacing w:line="560" w:lineRule="exact"/>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p>
    <w:p>
      <w:pPr>
        <w:snapToGrid w:val="0"/>
        <w:spacing w:line="480" w:lineRule="exact"/>
        <w:ind w:right="28"/>
        <w:outlineLvl w:val="0"/>
        <w:rPr>
          <w:rFonts w:ascii="Times New Roman" w:hAnsi="Times New Roman" w:eastAsia="黑体" w:cs="Times New Roman"/>
          <w:bCs/>
          <w:sz w:val="28"/>
          <w:szCs w:val="28"/>
        </w:rPr>
      </w:pPr>
      <w:r>
        <w:rPr>
          <w:rFonts w:ascii="Times New Roman" w:hAnsi="Times New Roman" w:eastAsia="黑体" w:cs="Times New Roman"/>
          <w:bCs/>
          <w:sz w:val="28"/>
          <w:szCs w:val="28"/>
        </w:rPr>
        <w:t>附件1</w:t>
      </w:r>
    </w:p>
    <w:p>
      <w:pPr>
        <w:spacing w:line="560" w:lineRule="exact"/>
        <w:rPr>
          <w:rFonts w:ascii="Times New Roman" w:hAnsi="Times New Roman" w:eastAsia="仿宋_GB2312" w:cs="Times New Roman"/>
          <w:color w:val="000000" w:themeColor="text1"/>
          <w:sz w:val="30"/>
          <w:szCs w:val="30"/>
        </w:rPr>
      </w:pPr>
    </w:p>
    <w:p>
      <w:pPr>
        <w:spacing w:line="560" w:lineRule="exact"/>
        <w:jc w:val="center"/>
        <w:rPr>
          <w:rFonts w:ascii="Times New Roman" w:hAnsi="Times New Roman" w:eastAsia="方正小标宋简体" w:cs="Times New Roman"/>
          <w:color w:val="000000" w:themeColor="text1"/>
          <w:sz w:val="36"/>
          <w:szCs w:val="36"/>
        </w:rPr>
      </w:pPr>
      <w:r>
        <w:rPr>
          <w:rFonts w:ascii="Times New Roman" w:hAnsi="Times New Roman" w:eastAsia="方正小标宋简体" w:cs="Times New Roman"/>
          <w:color w:val="000000" w:themeColor="text1"/>
          <w:sz w:val="36"/>
          <w:szCs w:val="36"/>
        </w:rPr>
        <w:t>《广东省防沙治沙规划（2021</w:t>
      </w:r>
      <w:r>
        <w:rPr>
          <w:rFonts w:hint="eastAsia" w:ascii="仿宋_GB2312" w:hAnsi="Times New Roman" w:eastAsia="仿宋_GB2312" w:cs="Times New Roman"/>
          <w:color w:val="000000" w:themeColor="text1"/>
          <w:sz w:val="36"/>
          <w:szCs w:val="36"/>
        </w:rPr>
        <w:t>—</w:t>
      </w:r>
      <w:r>
        <w:rPr>
          <w:rFonts w:ascii="Times New Roman" w:hAnsi="Times New Roman" w:eastAsia="方正小标宋简体" w:cs="Times New Roman"/>
          <w:color w:val="000000" w:themeColor="text1"/>
          <w:sz w:val="36"/>
          <w:szCs w:val="36"/>
        </w:rPr>
        <w:t>2030年）》</w:t>
      </w:r>
    </w:p>
    <w:p>
      <w:pPr>
        <w:spacing w:line="560" w:lineRule="exact"/>
        <w:jc w:val="center"/>
        <w:rPr>
          <w:rFonts w:ascii="Times New Roman" w:hAnsi="Times New Roman" w:eastAsia="方正小标宋简体" w:cs="Times New Roman"/>
          <w:color w:val="000000" w:themeColor="text1"/>
          <w:sz w:val="36"/>
          <w:szCs w:val="36"/>
        </w:rPr>
      </w:pPr>
      <w:r>
        <w:rPr>
          <w:rFonts w:ascii="Times New Roman" w:hAnsi="Times New Roman" w:eastAsia="方正小标宋简体" w:cs="Times New Roman"/>
          <w:color w:val="000000" w:themeColor="text1"/>
          <w:sz w:val="36"/>
          <w:szCs w:val="36"/>
        </w:rPr>
        <w:t>编制情况说明</w:t>
      </w:r>
    </w:p>
    <w:p>
      <w:pPr>
        <w:pStyle w:val="64"/>
        <w:spacing w:before="312" w:beforeLines="100"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根据《防沙治沙法》和《关于印发&lt;全国防沙治沙规划（2021</w:t>
      </w:r>
      <w:r>
        <w:rPr>
          <w:rFonts w:hint="eastAsia" w:ascii="仿宋_GB2312"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2030年）&gt;的通知》（林规发〔2022〕115号）相关规定，广东省林业局组织相关单位及专家，编制了《广东省防沙治沙规划（2021-2030年）》（送审稿，以下简称《规划》）。现将有关情况说明如下：</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《规划》编制背景和过程</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党中央、国务院高度重视防沙治沙工作，特别是党的十八大以来，习近平总书记多次对防沙治沙工作做出重要指示批示，对科学防沙治沙提出了要求。进2021年上半年，先后4次做出重要指示批示，强调统筹</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山水林</w:t>
      </w:r>
      <w:r>
        <w:rPr>
          <w:rFonts w:hint="eastAsia" w:ascii="Times New Roman" w:hAnsi="Times New Roman" w:eastAsia="仿宋_GB2312" w:cs="Times New Roman"/>
          <w:color w:val="000000" w:themeColor="text1"/>
          <w:sz w:val="30"/>
          <w:szCs w:val="30"/>
        </w:rPr>
        <w:t>田</w:t>
      </w:r>
      <w:r>
        <w:rPr>
          <w:rFonts w:ascii="Times New Roman" w:hAnsi="Times New Roman" w:eastAsia="仿宋_GB2312" w:cs="Times New Roman"/>
          <w:color w:val="000000" w:themeColor="text1"/>
          <w:sz w:val="30"/>
          <w:szCs w:val="30"/>
        </w:rPr>
        <w:t>湖草沙</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系统治理。“十四五”规划和2035年远景目标纲要提出，科学推进水土流失和荒漠化、石漠化综合治理。</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近年来，广东省防沙治沙工作进展顺利，上一期规划的目标任务均已圆满完成，并取得了显著成效。沿海沙化地区生态明显改善，全省沙化土地面积连续4个监测期（2004年、2009年、2014年、2019年）实现净减少，其中，2009年至2014年间减少幅度最大，减少面积46433.32公顷，减幅为46.3%。沙化土地面积持续减少，程度</w:t>
      </w:r>
      <w:r>
        <w:rPr>
          <w:rFonts w:hint="eastAsia" w:ascii="Times New Roman" w:hAnsi="Times New Roman" w:eastAsia="仿宋_GB2312" w:cs="Times New Roman"/>
          <w:color w:val="000000" w:themeColor="text1"/>
          <w:sz w:val="30"/>
          <w:szCs w:val="30"/>
        </w:rPr>
        <w:t>持续</w:t>
      </w:r>
      <w:r>
        <w:rPr>
          <w:rFonts w:ascii="Times New Roman" w:hAnsi="Times New Roman" w:eastAsia="仿宋_GB2312" w:cs="Times New Roman"/>
          <w:color w:val="000000" w:themeColor="text1"/>
          <w:sz w:val="30"/>
          <w:szCs w:val="30"/>
        </w:rPr>
        <w:t>减轻，植被覆盖</w:t>
      </w:r>
      <w:r>
        <w:rPr>
          <w:rFonts w:hint="eastAsia" w:ascii="Times New Roman" w:hAnsi="Times New Roman" w:eastAsia="仿宋_GB2312" w:cs="Times New Roman"/>
          <w:color w:val="000000" w:themeColor="text1"/>
          <w:sz w:val="30"/>
          <w:szCs w:val="30"/>
        </w:rPr>
        <w:t>持续</w:t>
      </w:r>
      <w:r>
        <w:rPr>
          <w:rFonts w:ascii="Times New Roman" w:hAnsi="Times New Roman" w:eastAsia="仿宋_GB2312" w:cs="Times New Roman"/>
          <w:color w:val="000000" w:themeColor="text1"/>
          <w:sz w:val="30"/>
          <w:szCs w:val="30"/>
        </w:rPr>
        <w:t>增高。但是多年来，由于受自然和人为因素的影响，沿海沙区植被遭到了不同程度的破坏，林带产生多处缺口，恢复难度大。人为因素和病虫害隐患使巩固防沙治沙成果难度加大，防治形势依然严峻。据监测，广东省现有沙化土地33944.7362公顷，分布于粤东和粤西9个地级市23个县（市、区），严重影响了沿海地区生态安全和区域经济可持续发展。并且由于台风等自然灾害的侵袭，人为利益的驱使，沿海地区生态系统修复稳定性较差，普遍存在结构简单、质量不高，生态防护效能不强的问题。已治理的沙化土地中，初步、中等治理的面积占49.81%，基本治理的面积占23.33%，剩余未治理的都是</w:t>
      </w:r>
      <w:r>
        <w:rPr>
          <w:rFonts w:hint="eastAsia" w:ascii="Times New Roman" w:hAnsi="Times New Roman" w:eastAsia="仿宋_GB2312" w:cs="Times New Roman"/>
          <w:color w:val="000000" w:themeColor="text1"/>
          <w:sz w:val="30"/>
          <w:szCs w:val="30"/>
        </w:rPr>
        <w:t>治理难度很大</w:t>
      </w:r>
      <w:r>
        <w:rPr>
          <w:rFonts w:ascii="Times New Roman" w:hAnsi="Times New Roman" w:eastAsia="仿宋_GB2312" w:cs="Times New Roman"/>
          <w:color w:val="000000" w:themeColor="text1"/>
          <w:sz w:val="30"/>
          <w:szCs w:val="30"/>
        </w:rPr>
        <w:t>的顽疾。巩固防沙治沙成果和退化植被修复任务</w:t>
      </w:r>
      <w:r>
        <w:rPr>
          <w:rFonts w:hint="eastAsia" w:ascii="Times New Roman" w:hAnsi="Times New Roman" w:eastAsia="仿宋_GB2312" w:cs="Times New Roman"/>
          <w:color w:val="000000" w:themeColor="text1"/>
          <w:sz w:val="30"/>
          <w:szCs w:val="30"/>
        </w:rPr>
        <w:t>十分</w:t>
      </w:r>
      <w:r>
        <w:rPr>
          <w:rFonts w:ascii="Times New Roman" w:hAnsi="Times New Roman" w:eastAsia="仿宋_GB2312" w:cs="Times New Roman"/>
          <w:color w:val="000000" w:themeColor="text1"/>
          <w:sz w:val="30"/>
          <w:szCs w:val="30"/>
        </w:rPr>
        <w:t>艰巨且紧迫。</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规划》编制工作与2022年底正式启动，是在全面总结党的十八大以来防沙治沙成效经验，科学研判防沙治沙形势的基础上，应用第六次沙化土地监测成果，以及林草湿图斑监测成果，结合《全国防沙治沙规划（2021-2030年）》相关任务措施进行编制的。《规划》编制历经学习领会、调查研究、文本编写、征求意见等阶段。</w:t>
      </w:r>
      <w:r>
        <w:rPr>
          <w:rFonts w:ascii="Times New Roman" w:hAnsi="Times New Roman" w:eastAsia="仿宋_GB2312" w:cs="Times New Roman"/>
          <w:b/>
          <w:bCs/>
          <w:color w:val="000000" w:themeColor="text1"/>
          <w:sz w:val="30"/>
          <w:szCs w:val="30"/>
        </w:rPr>
        <w:t>一是认真学习领会习近平生态文明思想，提出防治</w:t>
      </w:r>
      <w:r>
        <w:rPr>
          <w:rFonts w:hint="eastAsia" w:ascii="Times New Roman" w:hAnsi="Times New Roman" w:eastAsia="仿宋_GB2312" w:cs="Times New Roman"/>
          <w:b/>
          <w:bCs/>
          <w:color w:val="000000" w:themeColor="text1"/>
          <w:sz w:val="30"/>
          <w:szCs w:val="30"/>
        </w:rPr>
        <w:t>思路与策略</w:t>
      </w:r>
      <w:r>
        <w:rPr>
          <w:rFonts w:ascii="Times New Roman" w:hAnsi="Times New Roman" w:eastAsia="仿宋_GB2312" w:cs="Times New Roman"/>
          <w:b/>
          <w:bCs/>
          <w:color w:val="000000" w:themeColor="text1"/>
          <w:sz w:val="30"/>
          <w:szCs w:val="30"/>
        </w:rPr>
        <w:t>。</w:t>
      </w:r>
      <w:r>
        <w:rPr>
          <w:rFonts w:ascii="Times New Roman" w:hAnsi="Times New Roman" w:eastAsia="仿宋_GB2312" w:cs="Times New Roman"/>
          <w:color w:val="000000" w:themeColor="text1"/>
          <w:sz w:val="30"/>
          <w:szCs w:val="30"/>
        </w:rPr>
        <w:t>特别是在指导思想、分类防护、综合治理等方面，研究如何贯彻落实习近平生态文明思想和“山水林</w:t>
      </w:r>
      <w:r>
        <w:rPr>
          <w:rFonts w:hint="eastAsia" w:ascii="Times New Roman" w:hAnsi="Times New Roman" w:eastAsia="仿宋_GB2312" w:cs="Times New Roman"/>
          <w:color w:val="000000" w:themeColor="text1"/>
          <w:sz w:val="30"/>
          <w:szCs w:val="30"/>
        </w:rPr>
        <w:t>田</w:t>
      </w:r>
      <w:r>
        <w:rPr>
          <w:rFonts w:ascii="Times New Roman" w:hAnsi="Times New Roman" w:eastAsia="仿宋_GB2312" w:cs="Times New Roman"/>
          <w:color w:val="000000" w:themeColor="text1"/>
          <w:sz w:val="30"/>
          <w:szCs w:val="30"/>
        </w:rPr>
        <w:t>湖草沙”一体化保护和修复理念。总结概括了5大修复措施，客观反映了因地制宜、综合治理沙化土地的内在要求。</w:t>
      </w:r>
      <w:r>
        <w:rPr>
          <w:rFonts w:ascii="Times New Roman" w:hAnsi="Times New Roman" w:eastAsia="仿宋_GB2312" w:cs="Times New Roman"/>
          <w:b/>
          <w:bCs/>
          <w:color w:val="000000" w:themeColor="text1"/>
          <w:sz w:val="30"/>
          <w:szCs w:val="30"/>
        </w:rPr>
        <w:t>二是开展基础调查研究，确定编制大纲。</w:t>
      </w:r>
      <w:r>
        <w:rPr>
          <w:rFonts w:ascii="Times New Roman" w:hAnsi="Times New Roman" w:eastAsia="仿宋_GB2312" w:cs="Times New Roman"/>
          <w:color w:val="000000" w:themeColor="text1"/>
          <w:sz w:val="30"/>
          <w:szCs w:val="30"/>
        </w:rPr>
        <w:t>2022年底，广东省林业局部署《规划》编制工作，要求沙区责任单位认真总结防沙治沙工作成效、经验、任务规模，客观分析土地沙化形势，理清防治思路，为编制《规划》提供支撑。在此基础上，组织相关人员开展沿海沙化土地专题调研，木麻黄造林技术探讨，沿海防护林防护效益遥感监测等专题研究。在此基础上，初步形成《规划》编制大纲。</w:t>
      </w:r>
      <w:r>
        <w:rPr>
          <w:rFonts w:ascii="Times New Roman" w:hAnsi="Times New Roman" w:eastAsia="仿宋_GB2312" w:cs="Times New Roman"/>
          <w:b/>
          <w:bCs/>
          <w:color w:val="000000" w:themeColor="text1"/>
          <w:sz w:val="30"/>
          <w:szCs w:val="30"/>
        </w:rPr>
        <w:t>三是汇总分析相关资料，组织编写文本。</w:t>
      </w:r>
      <w:r>
        <w:rPr>
          <w:rFonts w:ascii="Times New Roman" w:hAnsi="Times New Roman" w:eastAsia="仿宋_GB2312" w:cs="Times New Roman"/>
          <w:color w:val="000000" w:themeColor="text1"/>
          <w:sz w:val="30"/>
          <w:szCs w:val="30"/>
        </w:rPr>
        <w:t>认真梳理各单位反映的问题，充分吸纳相关意见建议，为《规划》编制提供了基本素材。结合第六次沙化土地监测成果，全面分析全省沙化土地情况，结合气候资料，实现分类防治、因害施策，精准测算防沙治沙任务。2023年3月，形成了《规划》初稿。</w:t>
      </w:r>
      <w:r>
        <w:rPr>
          <w:rFonts w:ascii="Times New Roman" w:hAnsi="Times New Roman" w:eastAsia="仿宋_GB2312" w:cs="Times New Roman"/>
          <w:b/>
          <w:bCs/>
          <w:color w:val="000000" w:themeColor="text1"/>
          <w:sz w:val="30"/>
          <w:szCs w:val="30"/>
        </w:rPr>
        <w:t>四是广泛征求意见，不断修改完善。</w:t>
      </w:r>
      <w:r>
        <w:rPr>
          <w:rFonts w:ascii="Times New Roman" w:hAnsi="Times New Roman" w:eastAsia="仿宋_GB2312" w:cs="Times New Roman"/>
          <w:color w:val="000000" w:themeColor="text1"/>
          <w:sz w:val="30"/>
          <w:szCs w:val="30"/>
        </w:rPr>
        <w:t>《规划》先后征求并充分吸纳相关专家、有关部门的意见建议。组织召开技术讨论会、专家评审会，进一步提高《规划》的科学性和可行性。</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《规划》主要内容</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《规划》共分为八章，主要内容：</w:t>
      </w:r>
      <w:bookmarkStart w:id="213" w:name="_Toc130199768"/>
      <w:bookmarkStart w:id="214" w:name="_Toc129795542"/>
    </w:p>
    <w:bookmarkEnd w:id="213"/>
    <w:bookmarkEnd w:id="214"/>
    <w:p>
      <w:pPr>
        <w:pStyle w:val="64"/>
        <w:numPr>
          <w:ilvl w:val="0"/>
          <w:numId w:val="31"/>
        </w:numPr>
        <w:spacing w:line="560" w:lineRule="exact"/>
        <w:ind w:left="0" w:firstLine="602"/>
        <w:rPr>
          <w:rFonts w:ascii="Times New Roman" w:hAnsi="Times New Roman" w:eastAsia="仿宋_GB2312" w:cs="Times New Roman"/>
          <w:sz w:val="30"/>
          <w:szCs w:val="30"/>
        </w:rPr>
      </w:pPr>
      <w:r>
        <w:rPr>
          <w:rFonts w:ascii="Times New Roman" w:hAnsi="Times New Roman" w:eastAsia="仿宋_GB2312" w:cs="Times New Roman"/>
          <w:b/>
          <w:bCs/>
          <w:sz w:val="30"/>
          <w:szCs w:val="30"/>
        </w:rPr>
        <w:t>防沙治沙形势。</w:t>
      </w:r>
      <w:r>
        <w:rPr>
          <w:rFonts w:ascii="Times New Roman" w:hAnsi="Times New Roman" w:eastAsia="仿宋_GB2312" w:cs="Times New Roman"/>
          <w:sz w:val="30"/>
          <w:szCs w:val="30"/>
        </w:rPr>
        <w:t>认真总结十八大以来，广东省防沙治沙工作取得的主要成效，客观分析当前面临的挑战和机遇，阐述了沿海地区防沙治沙工作的重要意义。</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ascii="Times New Roman" w:hAnsi="Times New Roman" w:eastAsia="仿宋_GB2312" w:cs="Times New Roman"/>
          <w:b/>
          <w:bCs/>
          <w:sz w:val="30"/>
          <w:szCs w:val="30"/>
        </w:rPr>
        <w:t>总体思路。</w:t>
      </w:r>
      <w:r>
        <w:rPr>
          <w:rFonts w:ascii="Times New Roman" w:hAnsi="Times New Roman" w:eastAsia="仿宋_GB2312" w:cs="Times New Roman"/>
          <w:sz w:val="30"/>
          <w:szCs w:val="30"/>
        </w:rPr>
        <w:t>强调深入</w:t>
      </w:r>
      <w:r>
        <w:rPr>
          <w:rFonts w:hint="eastAsia" w:ascii="Times New Roman" w:hAnsi="Times New Roman" w:eastAsia="仿宋_GB2312" w:cs="Times New Roman"/>
          <w:sz w:val="30"/>
          <w:szCs w:val="30"/>
        </w:rPr>
        <w:t>贯彻</w:t>
      </w:r>
      <w:r>
        <w:rPr>
          <w:rFonts w:ascii="Times New Roman" w:hAnsi="Times New Roman" w:eastAsia="仿宋_GB2312" w:cs="Times New Roman"/>
          <w:sz w:val="30"/>
          <w:szCs w:val="30"/>
        </w:rPr>
        <w:t>落实习近平生态文明思想，完整、准确、全面贯彻新发展理念，按照因地制宜、分类施策、造改结合的总体思路，遵循自然和经济规律，坚持依法防治、科学防治，坚持山水林田湖草沙一体化防护和系统治理，以“双重”工程为抓手，以保护生态和改善民生为目标，充分调动社会各方面力量，全力推进防沙治沙高质量发展。到2025年，规划完成沙化土地治理任务0.25万公顷。到2030年，继续对31468.0695公顷已治理沙化土地进行防护，防止退化，巩固成效。</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总体布局和分区施策。</w:t>
      </w:r>
      <w:r>
        <w:rPr>
          <w:rFonts w:hint="eastAsia" w:ascii="Times New Roman" w:hAnsi="Times New Roman" w:eastAsia="仿宋_GB2312" w:cs="Times New Roman"/>
          <w:color w:val="000000" w:themeColor="text1"/>
          <w:sz w:val="30"/>
          <w:szCs w:val="30"/>
        </w:rPr>
        <w:t>根据《全国防沙治沙规划（2</w:t>
      </w:r>
      <w:r>
        <w:rPr>
          <w:rFonts w:ascii="Times New Roman" w:hAnsi="Times New Roman" w:eastAsia="仿宋_GB2312" w:cs="Times New Roman"/>
          <w:color w:val="000000" w:themeColor="text1"/>
          <w:sz w:val="30"/>
          <w:szCs w:val="30"/>
        </w:rPr>
        <w:t>021-2030</w:t>
      </w:r>
      <w:r>
        <w:rPr>
          <w:rFonts w:hint="eastAsia" w:ascii="Times New Roman" w:hAnsi="Times New Roman" w:eastAsia="仿宋_GB2312" w:cs="Times New Roman"/>
          <w:color w:val="000000" w:themeColor="text1"/>
          <w:sz w:val="30"/>
          <w:szCs w:val="30"/>
        </w:rPr>
        <w:t>年）》，广东省属于沿海沿江湿润沙化土地类型区，海岸带沙地综合治理亚区。</w:t>
      </w:r>
      <w:r>
        <w:rPr>
          <w:rFonts w:hint="eastAsia" w:ascii="Times New Roman" w:hAnsi="Times New Roman" w:eastAsia="仿宋_GB2312" w:cs="Times New Roman"/>
          <w:sz w:val="30"/>
          <w:szCs w:val="30"/>
        </w:rPr>
        <w:t>综合考虑广东沿海沙化土地沿海岸线分布，且相对集中的分布特点，将沿海沙化土地分为粤东沿海沙化土地综合防治区和粤西沿海沙化土地综合防治区。阐明分区施策概况和治理工程。</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沙化土地分类防护</w:t>
      </w:r>
      <w:r>
        <w:rPr>
          <w:rFonts w:ascii="Times New Roman" w:hAnsi="Times New Roman" w:eastAsia="仿宋_GB2312" w:cs="Times New Roman"/>
          <w:b/>
          <w:bCs/>
          <w:sz w:val="30"/>
          <w:szCs w:val="30"/>
        </w:rPr>
        <w:t>。</w:t>
      </w:r>
      <w:r>
        <w:rPr>
          <w:rFonts w:ascii="Times New Roman" w:hAnsi="Times New Roman" w:eastAsia="仿宋_GB2312" w:cs="Times New Roman"/>
          <w:sz w:val="30"/>
          <w:szCs w:val="30"/>
        </w:rPr>
        <w:t>坚持预防为主、保护优先，实行沙化土地分类保护，全面落实各项保护制度，充分发挥生态系统自然修复功能，促进植被休养生息，从源头上有效控制土地沙化。规划期内，对全部已治理的沙化土地进行分类保护，强化保护措施，力争实现应</w:t>
      </w:r>
      <w:r>
        <w:rPr>
          <w:rFonts w:hint="eastAsia" w:ascii="Times New Roman" w:hAnsi="Times New Roman" w:eastAsia="仿宋_GB2312" w:cs="Times New Roman"/>
          <w:sz w:val="30"/>
          <w:szCs w:val="30"/>
        </w:rPr>
        <w:t>防</w:t>
      </w:r>
      <w:r>
        <w:rPr>
          <w:rFonts w:ascii="Times New Roman" w:hAnsi="Times New Roman" w:eastAsia="仿宋_GB2312" w:cs="Times New Roman"/>
          <w:sz w:val="30"/>
          <w:szCs w:val="30"/>
        </w:rPr>
        <w:t>尽</w:t>
      </w:r>
      <w:r>
        <w:rPr>
          <w:rFonts w:hint="eastAsia" w:ascii="Times New Roman" w:hAnsi="Times New Roman" w:eastAsia="仿宋_GB2312" w:cs="Times New Roman"/>
          <w:sz w:val="30"/>
          <w:szCs w:val="30"/>
        </w:rPr>
        <w:t>防</w:t>
      </w:r>
      <w:r>
        <w:rPr>
          <w:rFonts w:ascii="Times New Roman" w:hAnsi="Times New Roman" w:eastAsia="仿宋_GB2312" w:cs="Times New Roman"/>
          <w:sz w:val="30"/>
          <w:szCs w:val="30"/>
        </w:rPr>
        <w:t>。</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ascii="Times New Roman" w:hAnsi="Times New Roman" w:eastAsia="仿宋_GB2312" w:cs="Times New Roman"/>
          <w:b/>
          <w:bCs/>
          <w:sz w:val="30"/>
          <w:szCs w:val="30"/>
        </w:rPr>
        <w:t>沿海沙化土地综合治理。</w:t>
      </w:r>
      <w:r>
        <w:rPr>
          <w:rFonts w:ascii="Times New Roman" w:hAnsi="Times New Roman" w:eastAsia="仿宋_GB2312" w:cs="Times New Roman"/>
          <w:sz w:val="30"/>
          <w:szCs w:val="30"/>
        </w:rPr>
        <w:t>在科学研究沿海</w:t>
      </w:r>
      <w:r>
        <w:rPr>
          <w:rFonts w:hint="eastAsia" w:ascii="Times New Roman" w:hAnsi="Times New Roman" w:eastAsia="仿宋_GB2312" w:cs="Times New Roman"/>
          <w:sz w:val="30"/>
          <w:szCs w:val="30"/>
        </w:rPr>
        <w:t>沙化土地</w:t>
      </w:r>
      <w:r>
        <w:rPr>
          <w:rFonts w:ascii="Times New Roman" w:hAnsi="Times New Roman" w:eastAsia="仿宋_GB2312" w:cs="Times New Roman"/>
          <w:sz w:val="30"/>
          <w:szCs w:val="30"/>
        </w:rPr>
        <w:t>修复治理技术的基础上，统筹山水林田湖草沙综合治理、系统治理、源头治理，多种治理措施并举，结合沿海防护林、护岸林、防风固沙林等建设工程，高质量开展生态修复。据测算，“十四五”期间，完成全部沙化土地治理任务0.25万公顷。</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监测评估</w:t>
      </w:r>
      <w:r>
        <w:rPr>
          <w:rFonts w:ascii="Times New Roman" w:hAnsi="Times New Roman" w:eastAsia="仿宋_GB2312" w:cs="Times New Roman"/>
          <w:b/>
          <w:bCs/>
          <w:sz w:val="30"/>
          <w:szCs w:val="30"/>
        </w:rPr>
        <w:t>体系</w:t>
      </w:r>
      <w:r>
        <w:rPr>
          <w:rFonts w:hint="eastAsia" w:ascii="Times New Roman" w:hAnsi="Times New Roman" w:eastAsia="仿宋_GB2312" w:cs="Times New Roman"/>
          <w:b/>
          <w:bCs/>
          <w:sz w:val="30"/>
          <w:szCs w:val="30"/>
        </w:rPr>
        <w:t>能力建设</w:t>
      </w:r>
      <w:r>
        <w:rPr>
          <w:rFonts w:ascii="Times New Roman" w:hAnsi="Times New Roman" w:eastAsia="仿宋_GB2312" w:cs="Times New Roman"/>
          <w:b/>
          <w:bCs/>
          <w:sz w:val="30"/>
          <w:szCs w:val="30"/>
        </w:rPr>
        <w:t>。</w:t>
      </w:r>
      <w:r>
        <w:rPr>
          <w:rFonts w:ascii="Times New Roman" w:hAnsi="Times New Roman" w:eastAsia="仿宋_GB2312" w:cs="Times New Roman"/>
          <w:sz w:val="30"/>
          <w:szCs w:val="30"/>
        </w:rPr>
        <w:t>通过宏观调查监测、年度趋势监测和工程成效</w:t>
      </w:r>
      <w:r>
        <w:rPr>
          <w:rFonts w:hint="eastAsia" w:ascii="Times New Roman" w:hAnsi="Times New Roman" w:eastAsia="仿宋_GB2312" w:cs="Times New Roman"/>
          <w:sz w:val="30"/>
          <w:szCs w:val="30"/>
        </w:rPr>
        <w:t>评估</w:t>
      </w:r>
      <w:r>
        <w:rPr>
          <w:rFonts w:ascii="Times New Roman" w:hAnsi="Times New Roman" w:eastAsia="仿宋_GB2312" w:cs="Times New Roman"/>
          <w:sz w:val="30"/>
          <w:szCs w:val="30"/>
        </w:rPr>
        <w:t>相结合的沙化监测</w:t>
      </w:r>
      <w:r>
        <w:rPr>
          <w:rFonts w:hint="eastAsia" w:ascii="Times New Roman" w:hAnsi="Times New Roman" w:eastAsia="仿宋_GB2312" w:cs="Times New Roman"/>
          <w:sz w:val="30"/>
          <w:szCs w:val="30"/>
        </w:rPr>
        <w:t>评估</w:t>
      </w:r>
      <w:r>
        <w:rPr>
          <w:rFonts w:ascii="Times New Roman" w:hAnsi="Times New Roman" w:eastAsia="仿宋_GB2312" w:cs="Times New Roman"/>
          <w:sz w:val="30"/>
          <w:szCs w:val="30"/>
        </w:rPr>
        <w:t>体系，对沙化土地治理情况开展监测，及时、全面掌握沙化土地现状和各项治理措施的数量、质量及实施进度等情况，为预防土地沙化提供科学依据。同时根据广东省沙化土地的特点和分布状况，结合当地社会经济发展，在保护沙化土地植被覆盖，确保不破坏生态的前提下，适度利用沙化土地资源。</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绿色生态沙产业建设</w:t>
      </w:r>
      <w:r>
        <w:rPr>
          <w:rFonts w:ascii="Times New Roman" w:hAnsi="Times New Roman" w:eastAsia="仿宋_GB2312" w:cs="Times New Roman"/>
          <w:b/>
          <w:bCs/>
          <w:sz w:val="30"/>
          <w:szCs w:val="30"/>
        </w:rPr>
        <w:t>。</w:t>
      </w:r>
      <w:r>
        <w:rPr>
          <w:rFonts w:hint="eastAsia" w:ascii="Times New Roman" w:hAnsi="Times New Roman" w:eastAsia="仿宋_GB2312" w:cs="Times New Roman"/>
          <w:sz w:val="30"/>
          <w:szCs w:val="30"/>
        </w:rPr>
        <w:t>牢固树立和</w:t>
      </w:r>
      <w:r>
        <w:rPr>
          <w:rFonts w:ascii="Times New Roman" w:hAnsi="Times New Roman" w:eastAsia="仿宋_GB2312" w:cs="Times New Roman"/>
          <w:sz w:val="30"/>
          <w:szCs w:val="30"/>
        </w:rPr>
        <w:t>践行绿水</w:t>
      </w:r>
      <w:r>
        <w:rPr>
          <w:rFonts w:hint="eastAsia" w:ascii="Times New Roman" w:hAnsi="Times New Roman" w:eastAsia="仿宋_GB2312" w:cs="Times New Roman"/>
          <w:sz w:val="30"/>
          <w:szCs w:val="30"/>
        </w:rPr>
        <w:t>青山就是金山银山</w:t>
      </w:r>
      <w:r>
        <w:rPr>
          <w:rFonts w:ascii="Times New Roman" w:hAnsi="Times New Roman" w:eastAsia="仿宋_GB2312" w:cs="Times New Roman"/>
          <w:sz w:val="30"/>
          <w:szCs w:val="30"/>
        </w:rPr>
        <w:t>的理念，坚持治沙致富、增绿增收相结合，在</w:t>
      </w:r>
      <w:r>
        <w:rPr>
          <w:rFonts w:hint="eastAsia" w:ascii="Times New Roman" w:hAnsi="Times New Roman" w:eastAsia="仿宋_GB2312" w:cs="Times New Roman"/>
          <w:sz w:val="30"/>
          <w:szCs w:val="30"/>
        </w:rPr>
        <w:t>保护好生态且水资源条件允许的基础上，利用光、热、土、生、景等资源，适度有序地发展节水、低碳、环保型特色沙产业，促进农牧民增收，</w:t>
      </w:r>
      <w:r>
        <w:rPr>
          <w:rFonts w:ascii="Times New Roman" w:hAnsi="Times New Roman" w:eastAsia="仿宋_GB2312" w:cs="Times New Roman"/>
          <w:sz w:val="30"/>
          <w:szCs w:val="30"/>
        </w:rPr>
        <w:t xml:space="preserve"> 助力脱贫成果巩固和乡村振兴。</w:t>
      </w:r>
    </w:p>
    <w:p>
      <w:pPr>
        <w:pStyle w:val="64"/>
        <w:numPr>
          <w:ilvl w:val="0"/>
          <w:numId w:val="31"/>
        </w:numPr>
        <w:spacing w:line="560" w:lineRule="exact"/>
        <w:ind w:left="0" w:firstLine="602"/>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健全规划实施</w:t>
      </w:r>
      <w:r>
        <w:rPr>
          <w:rFonts w:ascii="Times New Roman" w:hAnsi="Times New Roman" w:eastAsia="仿宋_GB2312" w:cs="Times New Roman"/>
          <w:b/>
          <w:bCs/>
          <w:sz w:val="30"/>
          <w:szCs w:val="30"/>
        </w:rPr>
        <w:t>保障</w:t>
      </w:r>
      <w:r>
        <w:rPr>
          <w:rFonts w:hint="eastAsia" w:ascii="Times New Roman" w:hAnsi="Times New Roman" w:eastAsia="仿宋_GB2312" w:cs="Times New Roman"/>
          <w:b/>
          <w:bCs/>
          <w:sz w:val="30"/>
          <w:szCs w:val="30"/>
        </w:rPr>
        <w:t>机制</w:t>
      </w:r>
      <w:r>
        <w:rPr>
          <w:rFonts w:ascii="Times New Roman" w:hAnsi="Times New Roman" w:eastAsia="仿宋_GB2312" w:cs="Times New Roman"/>
          <w:b/>
          <w:bCs/>
          <w:sz w:val="30"/>
          <w:szCs w:val="30"/>
        </w:rPr>
        <w:t>。</w:t>
      </w:r>
      <w:r>
        <w:rPr>
          <w:rFonts w:ascii="Times New Roman" w:hAnsi="Times New Roman" w:eastAsia="仿宋_GB2312" w:cs="Times New Roman"/>
          <w:sz w:val="30"/>
          <w:szCs w:val="30"/>
        </w:rPr>
        <w:t>建立健全防沙治沙规划实施保障机制，加强组织管理，</w:t>
      </w:r>
      <w:r>
        <w:rPr>
          <w:rFonts w:hint="eastAsia" w:ascii="Times New Roman" w:hAnsi="Times New Roman" w:eastAsia="仿宋_GB2312" w:cs="Times New Roman"/>
          <w:sz w:val="30"/>
          <w:szCs w:val="30"/>
        </w:rPr>
        <w:t>严格</w:t>
      </w:r>
      <w:r>
        <w:rPr>
          <w:rFonts w:ascii="Times New Roman" w:hAnsi="Times New Roman" w:eastAsia="仿宋_GB2312" w:cs="Times New Roman"/>
          <w:sz w:val="30"/>
          <w:szCs w:val="30"/>
        </w:rPr>
        <w:t>依法治沙，</w:t>
      </w:r>
      <w:r>
        <w:rPr>
          <w:rFonts w:hint="eastAsia" w:ascii="Times New Roman" w:hAnsi="Times New Roman" w:eastAsia="仿宋_GB2312" w:cs="Times New Roman"/>
          <w:sz w:val="30"/>
          <w:szCs w:val="30"/>
        </w:rPr>
        <w:t>整合资金渠道，强化科技支撑，加强宣传教育，</w:t>
      </w:r>
      <w:r>
        <w:rPr>
          <w:rFonts w:ascii="Times New Roman" w:hAnsi="Times New Roman" w:eastAsia="仿宋_GB2312" w:cs="Times New Roman"/>
          <w:sz w:val="30"/>
          <w:szCs w:val="30"/>
        </w:rPr>
        <w:t>稳步推进新阶段防沙治沙高质量发展。</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《规划》起止年限</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本规划起止年限为2021—2030年，主要基于三点考虑：一是规划期为10年有利于及时调整防沙治沙规划布局，科学指导防沙治沙工作。二是参考全国防沙治沙规划期10年。三是《省级政府防沙治沙目标责任考核办法》（国办发〔2009〕29号）规定，考核工作每五年为一个考核期。2021年，完成“十三五”防沙治沙目标责任考核工作，结果已上报国家。由于考核工作的需要，以及保持规划实施的连续性，起始年限为2021年。</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《规划》基础数据</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自1994年开始，</w:t>
      </w:r>
      <w:r>
        <w:rPr>
          <w:rFonts w:hint="eastAsia" w:ascii="Times New Roman" w:hAnsi="Times New Roman" w:eastAsia="仿宋_GB2312" w:cs="Times New Roman"/>
          <w:color w:val="000000" w:themeColor="text1"/>
          <w:sz w:val="30"/>
          <w:szCs w:val="30"/>
        </w:rPr>
        <w:t>已</w:t>
      </w:r>
      <w:r>
        <w:rPr>
          <w:rFonts w:ascii="Times New Roman" w:hAnsi="Times New Roman" w:eastAsia="仿宋_GB2312" w:cs="Times New Roman"/>
          <w:color w:val="000000" w:themeColor="text1"/>
          <w:sz w:val="30"/>
          <w:szCs w:val="30"/>
        </w:rPr>
        <w:t>连续组织开展了6次荒漠化和沙化调查监测，于2019年启动的第六次调查监测以国土“三调”为本底，摸清了沙化土地利用现状和防沙治沙空间，是《全国防沙治沙规划（2021-2030年）》编制的主要依据。因此为使数据出口一致，本次规划基础数据采用第六次沙化土地监测成果。</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《规划》任务量</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规划任务量由国家根据省级政府防沙治沙目标责任考核，综合考虑新时期中央投资力度不减小、实行差别化投资等因素，依据《</w:t>
      </w:r>
      <w:r>
        <w:rPr>
          <w:rFonts w:hint="eastAsia" w:ascii="Times New Roman" w:hAnsi="Times New Roman" w:eastAsia="仿宋_GB2312" w:cs="Times New Roman"/>
          <w:color w:val="000000" w:themeColor="text1"/>
          <w:sz w:val="30"/>
          <w:szCs w:val="30"/>
        </w:rPr>
        <w:t>全国重要生态系统保护和修复重大工程总体规划（</w:t>
      </w:r>
      <w:r>
        <w:rPr>
          <w:rFonts w:ascii="Times New Roman" w:hAnsi="Times New Roman" w:eastAsia="仿宋_GB2312" w:cs="Times New Roman"/>
          <w:color w:val="000000" w:themeColor="text1"/>
          <w:sz w:val="30"/>
          <w:szCs w:val="30"/>
        </w:rPr>
        <w:t>2021-2035）》和《</w:t>
      </w:r>
      <w:r>
        <w:rPr>
          <w:rFonts w:hint="eastAsia" w:ascii="Times New Roman" w:hAnsi="Times New Roman" w:eastAsia="仿宋_GB2312" w:cs="Times New Roman"/>
          <w:color w:val="000000" w:themeColor="text1"/>
          <w:sz w:val="30"/>
          <w:szCs w:val="30"/>
        </w:rPr>
        <w:t>国务院关于进一步加强防沙治沙工作的决定</w:t>
      </w:r>
      <w:r>
        <w:rPr>
          <w:rFonts w:ascii="Times New Roman" w:hAnsi="Times New Roman" w:eastAsia="仿宋_GB2312" w:cs="Times New Roman"/>
          <w:color w:val="000000" w:themeColor="text1"/>
          <w:sz w:val="30"/>
          <w:szCs w:val="30"/>
        </w:rPr>
        <w:t>》</w:t>
      </w:r>
      <w:r>
        <w:rPr>
          <w:rFonts w:hint="eastAsia" w:ascii="Times New Roman" w:hAnsi="Times New Roman" w:eastAsia="仿宋_GB2312" w:cs="Times New Roman"/>
          <w:color w:val="000000" w:themeColor="text1"/>
          <w:sz w:val="30"/>
          <w:szCs w:val="30"/>
        </w:rPr>
        <w:t>（国</w:t>
      </w:r>
      <w:r>
        <w:rPr>
          <w:rFonts w:ascii="Times New Roman" w:hAnsi="Times New Roman" w:eastAsia="仿宋_GB2312" w:cs="Times New Roman"/>
          <w:color w:val="000000" w:themeColor="text1"/>
          <w:sz w:val="30"/>
          <w:szCs w:val="30"/>
        </w:rPr>
        <w:t>发〔2005〕29号</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确定的沙化土地治理战略目标，结合第六次调查监测和国土“三调”成果，以及省级人民政府防沙治沙需求制定。</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根据《全国防沙治沙规划（2021-2030年）》下达的任务量，“十四五”期间需完成0.25万公顷沙化土地治理。在2026-2030年间，实现应</w:t>
      </w:r>
      <w:r>
        <w:rPr>
          <w:rFonts w:hint="eastAsia" w:ascii="Times New Roman" w:hAnsi="Times New Roman" w:eastAsia="仿宋_GB2312" w:cs="Times New Roman"/>
          <w:color w:val="000000" w:themeColor="text1"/>
          <w:sz w:val="30"/>
          <w:szCs w:val="30"/>
        </w:rPr>
        <w:t>防</w:t>
      </w:r>
      <w:r>
        <w:rPr>
          <w:rFonts w:ascii="Times New Roman" w:hAnsi="Times New Roman" w:eastAsia="仿宋_GB2312" w:cs="Times New Roman"/>
          <w:color w:val="000000" w:themeColor="text1"/>
          <w:sz w:val="30"/>
          <w:szCs w:val="30"/>
        </w:rPr>
        <w:t>尽</w:t>
      </w:r>
      <w:r>
        <w:rPr>
          <w:rFonts w:hint="eastAsia" w:ascii="Times New Roman" w:hAnsi="Times New Roman" w:eastAsia="仿宋_GB2312" w:cs="Times New Roman"/>
          <w:color w:val="000000" w:themeColor="text1"/>
          <w:sz w:val="30"/>
          <w:szCs w:val="30"/>
        </w:rPr>
        <w:t>防</w:t>
      </w:r>
      <w:r>
        <w:rPr>
          <w:rFonts w:ascii="Times New Roman" w:hAnsi="Times New Roman" w:eastAsia="仿宋_GB2312" w:cs="Times New Roman"/>
          <w:color w:val="000000" w:themeColor="text1"/>
          <w:sz w:val="30"/>
          <w:szCs w:val="30"/>
        </w:rPr>
        <w:t>，将已治理沙化土地防护起来。</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《规划》</w:t>
      </w:r>
      <w:r>
        <w:rPr>
          <w:rFonts w:hint="eastAsia" w:ascii="楷体" w:hAnsi="楷体" w:eastAsia="楷体"/>
          <w:sz w:val="32"/>
          <w:szCs w:val="32"/>
        </w:rPr>
        <w:t>预期效益</w:t>
      </w:r>
    </w:p>
    <w:p>
      <w:pPr>
        <w:spacing w:line="560" w:lineRule="exact"/>
        <w:ind w:firstLine="600" w:firstLineChars="200"/>
        <w:rPr>
          <w:rFonts w:ascii="Times New Roman" w:hAnsi="Times New Roman" w:eastAsia="仿宋_GB2312" w:cs="Times New Roman"/>
          <w:color w:val="000000" w:themeColor="text1"/>
          <w:sz w:val="30"/>
          <w:szCs w:val="30"/>
          <w:u w:val="single"/>
        </w:rPr>
      </w:pPr>
      <w:r>
        <w:rPr>
          <w:rFonts w:hint="eastAsia" w:ascii="Times New Roman" w:hAnsi="Times New Roman" w:eastAsia="仿宋_GB2312" w:cs="Times New Roman"/>
          <w:color w:val="000000" w:themeColor="text1"/>
          <w:sz w:val="30"/>
          <w:szCs w:val="30"/>
        </w:rPr>
        <w:t>至规划期末，合计治理0</w:t>
      </w:r>
      <w:r>
        <w:rPr>
          <w:rFonts w:ascii="Times New Roman" w:hAnsi="Times New Roman" w:eastAsia="仿宋_GB2312" w:cs="Times New Roman"/>
          <w:color w:val="000000" w:themeColor="text1"/>
          <w:sz w:val="30"/>
          <w:szCs w:val="30"/>
        </w:rPr>
        <w:t>.25</w:t>
      </w:r>
      <w:r>
        <w:rPr>
          <w:rFonts w:hint="eastAsia" w:ascii="Times New Roman" w:hAnsi="Times New Roman" w:eastAsia="仿宋_GB2312" w:cs="Times New Roman"/>
          <w:color w:val="000000" w:themeColor="text1"/>
          <w:sz w:val="30"/>
          <w:szCs w:val="30"/>
        </w:rPr>
        <w:t>万公顷沙化土地，按治理措施分，人工造林</w:t>
      </w:r>
      <w:r>
        <w:rPr>
          <w:rFonts w:ascii="Times New Roman" w:hAnsi="Times New Roman" w:eastAsia="仿宋_GB2312" w:cs="Times New Roman"/>
          <w:color w:val="000000" w:themeColor="text1"/>
          <w:sz w:val="30"/>
          <w:szCs w:val="30"/>
        </w:rPr>
        <w:t>187.7600公顷，</w:t>
      </w:r>
      <w:r>
        <w:rPr>
          <w:rFonts w:hint="eastAsia" w:ascii="Times New Roman" w:hAnsi="Times New Roman" w:eastAsia="仿宋_GB2312" w:cs="Times New Roman"/>
          <w:color w:val="000000" w:themeColor="text1"/>
          <w:sz w:val="30"/>
          <w:szCs w:val="30"/>
        </w:rPr>
        <w:t>补植套种</w:t>
      </w:r>
      <w:r>
        <w:rPr>
          <w:rFonts w:ascii="Times New Roman" w:hAnsi="Times New Roman" w:eastAsia="仿宋_GB2312" w:cs="Times New Roman"/>
          <w:color w:val="000000" w:themeColor="text1"/>
          <w:sz w:val="30"/>
          <w:szCs w:val="30"/>
        </w:rPr>
        <w:t>971.7732</w:t>
      </w:r>
      <w:r>
        <w:rPr>
          <w:rFonts w:hint="eastAsia" w:ascii="Times New Roman" w:hAnsi="Times New Roman" w:eastAsia="仿宋_GB2312" w:cs="Times New Roman"/>
          <w:color w:val="000000" w:themeColor="text1"/>
          <w:sz w:val="30"/>
          <w:szCs w:val="30"/>
        </w:rPr>
        <w:t>公顷，更新改造</w:t>
      </w:r>
      <w:r>
        <w:rPr>
          <w:rFonts w:ascii="Times New Roman" w:hAnsi="Times New Roman" w:eastAsia="仿宋_GB2312" w:cs="Times New Roman"/>
          <w:color w:val="000000" w:themeColor="text1"/>
          <w:sz w:val="30"/>
          <w:szCs w:val="30"/>
        </w:rPr>
        <w:t>81.5333</w:t>
      </w:r>
      <w:r>
        <w:rPr>
          <w:rFonts w:hint="eastAsia" w:ascii="Times New Roman" w:hAnsi="Times New Roman" w:eastAsia="仿宋_GB2312" w:cs="Times New Roman"/>
          <w:color w:val="000000" w:themeColor="text1"/>
          <w:sz w:val="30"/>
          <w:szCs w:val="30"/>
        </w:rPr>
        <w:t>公顷，森林抚育</w:t>
      </w:r>
      <w:r>
        <w:rPr>
          <w:rFonts w:ascii="Times New Roman" w:hAnsi="Times New Roman" w:eastAsia="仿宋_GB2312" w:cs="Times New Roman"/>
          <w:color w:val="000000" w:themeColor="text1"/>
          <w:sz w:val="30"/>
          <w:szCs w:val="30"/>
        </w:rPr>
        <w:t>1192.2668</w:t>
      </w:r>
      <w:r>
        <w:rPr>
          <w:rFonts w:hint="eastAsia" w:ascii="Times New Roman" w:hAnsi="Times New Roman" w:eastAsia="仿宋_GB2312" w:cs="Times New Roman"/>
          <w:color w:val="000000" w:themeColor="text1"/>
          <w:sz w:val="30"/>
          <w:szCs w:val="30"/>
        </w:rPr>
        <w:t>公顷，封山（沙）育林（草）4</w:t>
      </w:r>
      <w:r>
        <w:rPr>
          <w:rFonts w:ascii="Times New Roman" w:hAnsi="Times New Roman" w:eastAsia="仿宋_GB2312" w:cs="Times New Roman"/>
          <w:color w:val="000000" w:themeColor="text1"/>
          <w:sz w:val="30"/>
          <w:szCs w:val="30"/>
        </w:rPr>
        <w:t>3.3334</w:t>
      </w:r>
      <w:r>
        <w:rPr>
          <w:rFonts w:hint="eastAsia" w:ascii="Times New Roman" w:hAnsi="Times New Roman" w:eastAsia="仿宋_GB2312" w:cs="Times New Roman"/>
          <w:color w:val="000000" w:themeColor="text1"/>
          <w:sz w:val="30"/>
          <w:szCs w:val="30"/>
        </w:rPr>
        <w:t>公顷。至规划期末，保护沙化土地面积</w:t>
      </w:r>
      <w:r>
        <w:rPr>
          <w:rFonts w:ascii="Times New Roman" w:hAnsi="Times New Roman" w:eastAsia="仿宋_GB2312" w:cs="Times New Roman"/>
          <w:color w:val="000000" w:themeColor="text1"/>
          <w:sz w:val="30"/>
          <w:szCs w:val="30"/>
        </w:rPr>
        <w:t>31468.0695</w:t>
      </w:r>
      <w:r>
        <w:rPr>
          <w:rFonts w:hint="eastAsia" w:ascii="Times New Roman" w:hAnsi="Times New Roman" w:eastAsia="仿宋_GB2312" w:cs="Times New Roman"/>
          <w:color w:val="000000" w:themeColor="text1"/>
          <w:sz w:val="30"/>
          <w:szCs w:val="30"/>
        </w:rPr>
        <w:t>公顷，占全部沙化土地面积的</w:t>
      </w:r>
      <w:r>
        <w:rPr>
          <w:rFonts w:ascii="Times New Roman" w:hAnsi="Times New Roman" w:eastAsia="仿宋_GB2312" w:cs="Times New Roman"/>
          <w:color w:val="000000" w:themeColor="text1"/>
          <w:sz w:val="30"/>
          <w:szCs w:val="30"/>
        </w:rPr>
        <w:t>92.7</w:t>
      </w:r>
      <w:r>
        <w:rPr>
          <w:rFonts w:hint="eastAsia" w:ascii="Times New Roman" w:hAnsi="Times New Roman" w:eastAsia="仿宋_GB2312" w:cs="Times New Roman"/>
          <w:color w:val="000000" w:themeColor="text1"/>
          <w:sz w:val="30"/>
          <w:szCs w:val="30"/>
        </w:rPr>
        <w:t>%，其中包括流动沙地</w:t>
      </w:r>
      <w:r>
        <w:rPr>
          <w:rFonts w:ascii="Times New Roman" w:hAnsi="Times New Roman" w:eastAsia="仿宋_GB2312" w:cs="Times New Roman"/>
          <w:color w:val="000000" w:themeColor="text1"/>
          <w:sz w:val="30"/>
          <w:szCs w:val="30"/>
        </w:rPr>
        <w:t>56.6837</w:t>
      </w:r>
      <w:r>
        <w:rPr>
          <w:rFonts w:hint="eastAsia" w:ascii="Times New Roman" w:hAnsi="Times New Roman" w:eastAsia="仿宋_GB2312" w:cs="Times New Roman"/>
          <w:color w:val="000000" w:themeColor="text1"/>
          <w:sz w:val="30"/>
          <w:szCs w:val="30"/>
        </w:rPr>
        <w:t>公顷，半固定沙地</w:t>
      </w:r>
      <w:r>
        <w:rPr>
          <w:rFonts w:ascii="Times New Roman" w:hAnsi="Times New Roman" w:eastAsia="仿宋_GB2312" w:cs="Times New Roman"/>
          <w:color w:val="000000" w:themeColor="text1"/>
          <w:sz w:val="30"/>
          <w:szCs w:val="30"/>
        </w:rPr>
        <w:t>8.5919</w:t>
      </w:r>
      <w:r>
        <w:rPr>
          <w:rFonts w:hint="eastAsia" w:ascii="Times New Roman" w:hAnsi="Times New Roman" w:eastAsia="仿宋_GB2312" w:cs="Times New Roman"/>
          <w:color w:val="000000" w:themeColor="text1"/>
          <w:sz w:val="30"/>
          <w:szCs w:val="30"/>
        </w:rPr>
        <w:t>公顷，固定沙地</w:t>
      </w:r>
      <w:r>
        <w:rPr>
          <w:rFonts w:ascii="Times New Roman" w:hAnsi="Times New Roman" w:eastAsia="仿宋_GB2312" w:cs="Times New Roman"/>
          <w:color w:val="000000" w:themeColor="text1"/>
          <w:sz w:val="30"/>
          <w:szCs w:val="30"/>
        </w:rPr>
        <w:t>24722.4608</w:t>
      </w:r>
      <w:r>
        <w:rPr>
          <w:rFonts w:hint="eastAsia" w:ascii="Times New Roman" w:hAnsi="Times New Roman" w:eastAsia="仿宋_GB2312" w:cs="Times New Roman"/>
          <w:color w:val="000000" w:themeColor="text1"/>
          <w:sz w:val="30"/>
          <w:szCs w:val="30"/>
        </w:rPr>
        <w:t>公顷，沙化耕地</w:t>
      </w:r>
      <w:r>
        <w:rPr>
          <w:rFonts w:ascii="Times New Roman" w:hAnsi="Times New Roman" w:eastAsia="仿宋_GB2312" w:cs="Times New Roman"/>
          <w:color w:val="000000" w:themeColor="text1"/>
          <w:sz w:val="30"/>
          <w:szCs w:val="30"/>
        </w:rPr>
        <w:t>6680.3331</w:t>
      </w:r>
      <w:r>
        <w:rPr>
          <w:rFonts w:hint="eastAsia" w:ascii="Times New Roman" w:hAnsi="Times New Roman" w:eastAsia="仿宋_GB2312" w:cs="Times New Roman"/>
          <w:color w:val="000000" w:themeColor="text1"/>
          <w:sz w:val="30"/>
          <w:szCs w:val="30"/>
        </w:rPr>
        <w:t>公顷。</w:t>
      </w:r>
    </w:p>
    <w:p>
      <w:pPr>
        <w:pStyle w:val="64"/>
        <w:numPr>
          <w:ilvl w:val="0"/>
          <w:numId w:val="32"/>
        </w:numPr>
        <w:spacing w:line="560" w:lineRule="exact"/>
        <w:ind w:left="0" w:firstLine="600"/>
        <w:rPr>
          <w:rFonts w:ascii="Times New Roman" w:hAnsi="Times New Roman" w:eastAsia="仿宋_GB2312" w:cs="Times New Roman"/>
          <w:sz w:val="30"/>
          <w:szCs w:val="30"/>
        </w:rPr>
      </w:pPr>
      <w:bookmarkStart w:id="215" w:name="_Toc130199831"/>
      <w:r>
        <w:rPr>
          <w:rFonts w:ascii="Times New Roman" w:hAnsi="Times New Roman" w:eastAsia="仿宋_GB2312" w:cs="Times New Roman"/>
          <w:sz w:val="30"/>
          <w:szCs w:val="30"/>
        </w:rPr>
        <w:t>生态效益</w:t>
      </w:r>
      <w:bookmarkEnd w:id="215"/>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防沙治沙工程的实施，将有效降低台风、风暴潮等灾害造成的损失，有效地保护沿海沙区人民群众的生命和财产安全。同时，将有效缓解沿海地区的风沙、洪涝、干旱等自然灾害的危害，提高沿海地区的防灾减灾能力。</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通过采取人工造林、补植套种、更新改造和林带整治等措施，对沙化土地进行植被建设和优化，显著增加了沙化土地的植被覆盖，</w:t>
      </w:r>
      <w:r>
        <w:rPr>
          <w:rFonts w:ascii="Times New Roman" w:hAnsi="Times New Roman" w:eastAsia="仿宋_GB2312" w:cs="Times New Roman"/>
          <w:color w:val="000000" w:themeColor="text1"/>
          <w:sz w:val="30"/>
          <w:szCs w:val="30"/>
        </w:rPr>
        <w:t>有效增加了</w:t>
      </w:r>
      <w:r>
        <w:rPr>
          <w:rFonts w:hint="eastAsia" w:ascii="Times New Roman" w:hAnsi="Times New Roman" w:eastAsia="仿宋_GB2312" w:cs="Times New Roman"/>
          <w:color w:val="000000" w:themeColor="text1"/>
          <w:sz w:val="30"/>
          <w:szCs w:val="30"/>
        </w:rPr>
        <w:t>沿海沙区</w:t>
      </w:r>
      <w:r>
        <w:rPr>
          <w:rFonts w:ascii="Times New Roman" w:hAnsi="Times New Roman" w:eastAsia="仿宋_GB2312" w:cs="Times New Roman"/>
          <w:color w:val="000000" w:themeColor="text1"/>
          <w:sz w:val="30"/>
          <w:szCs w:val="30"/>
        </w:rPr>
        <w:t>森林面积，提高了森林质量，改善提升了沿海</w:t>
      </w:r>
      <w:r>
        <w:rPr>
          <w:rFonts w:hint="eastAsia" w:ascii="Times New Roman" w:hAnsi="Times New Roman" w:eastAsia="仿宋_GB2312" w:cs="Times New Roman"/>
          <w:color w:val="000000" w:themeColor="text1"/>
          <w:sz w:val="30"/>
          <w:szCs w:val="30"/>
        </w:rPr>
        <w:t>地区森林</w:t>
      </w:r>
      <w:r>
        <w:rPr>
          <w:rFonts w:ascii="Times New Roman" w:hAnsi="Times New Roman" w:eastAsia="仿宋_GB2312" w:cs="Times New Roman"/>
          <w:color w:val="000000" w:themeColor="text1"/>
          <w:sz w:val="30"/>
          <w:szCs w:val="30"/>
        </w:rPr>
        <w:t>生态功能</w:t>
      </w:r>
      <w:r>
        <w:rPr>
          <w:rFonts w:hint="eastAsia" w:ascii="Times New Roman" w:hAnsi="Times New Roman" w:eastAsia="仿宋_GB2312" w:cs="Times New Roman"/>
          <w:color w:val="000000" w:themeColor="text1"/>
          <w:sz w:val="30"/>
          <w:szCs w:val="30"/>
        </w:rPr>
        <w:t>，有效保护了珍稀物种生存环境。</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通过沙化耕地整治，改善沙化耕地灌溉条件和生产条件，不仅提高农田产出效益，而且消除了农田退化危险，防止了农田退化。</w:t>
      </w:r>
    </w:p>
    <w:p>
      <w:pPr>
        <w:pStyle w:val="64"/>
        <w:numPr>
          <w:ilvl w:val="0"/>
          <w:numId w:val="32"/>
        </w:numPr>
        <w:spacing w:line="560" w:lineRule="exact"/>
        <w:ind w:left="0" w:firstLine="600"/>
        <w:rPr>
          <w:rFonts w:ascii="Times New Roman" w:hAnsi="Times New Roman" w:eastAsia="仿宋_GB2312" w:cs="Times New Roman"/>
          <w:sz w:val="30"/>
          <w:szCs w:val="30"/>
        </w:rPr>
      </w:pPr>
      <w:bookmarkStart w:id="216" w:name="_Toc130199832"/>
      <w:r>
        <w:rPr>
          <w:rFonts w:ascii="Times New Roman" w:hAnsi="Times New Roman" w:eastAsia="仿宋_GB2312" w:cs="Times New Roman"/>
          <w:sz w:val="30"/>
          <w:szCs w:val="30"/>
        </w:rPr>
        <w:t>社会效益</w:t>
      </w:r>
      <w:bookmarkEnd w:id="216"/>
    </w:p>
    <w:p>
      <w:pPr>
        <w:spacing w:line="560" w:lineRule="exact"/>
        <w:ind w:firstLine="600" w:firstLineChars="200"/>
        <w:rPr>
          <w:rFonts w:eastAsia="仿宋_GB2312"/>
          <w:b/>
          <w:bCs/>
        </w:rPr>
      </w:pPr>
      <w:r>
        <w:rPr>
          <w:rFonts w:hint="eastAsia" w:ascii="Times New Roman" w:hAnsi="Times New Roman" w:eastAsia="仿宋_GB2312" w:cs="Times New Roman"/>
          <w:color w:val="000000" w:themeColor="text1"/>
          <w:sz w:val="30"/>
          <w:szCs w:val="30"/>
        </w:rPr>
        <w:t>防沙治沙工作的有效开展，将有效地保护和恢复沙区林草植被，有力地改善沙区人居环境，加快城乡绿化美化进程，推动乡村振兴和绿美广东建设。同时，沿海地区人口稠密，交通便利，经济发达，是对外开放的前沿地带。良好的生态环境和优美的自然景观有利于吸引投资，对于沙化地区发展旅游、规模化种植和养殖等产业建设具有重要的促进作用。</w:t>
      </w:r>
    </w:p>
    <w:p>
      <w:pPr>
        <w:spacing w:line="560" w:lineRule="exact"/>
        <w:ind w:firstLine="600" w:firstLineChars="200"/>
        <w:rPr>
          <w:rFonts w:eastAsia="仿宋_GB2312"/>
          <w:b/>
          <w:bCs/>
        </w:rPr>
      </w:pPr>
      <w:r>
        <w:rPr>
          <w:rFonts w:hint="eastAsia" w:ascii="Times New Roman" w:hAnsi="Times New Roman" w:eastAsia="仿宋_GB2312" w:cs="Times New Roman"/>
          <w:color w:val="000000" w:themeColor="text1"/>
          <w:sz w:val="30"/>
          <w:szCs w:val="30"/>
        </w:rPr>
        <w:t>规划的实施，一方面对沙化耕地进行了综合整治，提高了农田的产出能力，另一方面通过沿海沙岸防护林的建设，使沿海地区9</w:t>
      </w:r>
      <w:r>
        <w:rPr>
          <w:rFonts w:ascii="Times New Roman" w:hAnsi="Times New Roman" w:eastAsia="仿宋_GB2312" w:cs="Times New Roman"/>
          <w:color w:val="000000" w:themeColor="text1"/>
          <w:sz w:val="30"/>
          <w:szCs w:val="30"/>
        </w:rPr>
        <w:t>5%</w:t>
      </w:r>
      <w:r>
        <w:rPr>
          <w:rFonts w:hint="eastAsia" w:ascii="Times New Roman" w:hAnsi="Times New Roman" w:eastAsia="仿宋_GB2312" w:cs="Times New Roman"/>
          <w:color w:val="000000" w:themeColor="text1"/>
          <w:sz w:val="30"/>
          <w:szCs w:val="30"/>
        </w:rPr>
        <w:t>的农田得到有效保护，并改善农田小气候，从而保障农业的稳产增收。</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规划的实施需要大量的劳动力，可为沿海地区农村剩余劳动力提供大量就业机会，对于解决就业问题，维护社会稳定，具有显著的社会效益。</w:t>
      </w:r>
    </w:p>
    <w:p>
      <w:pPr>
        <w:pStyle w:val="64"/>
        <w:numPr>
          <w:ilvl w:val="0"/>
          <w:numId w:val="32"/>
        </w:numPr>
        <w:spacing w:line="560" w:lineRule="exact"/>
        <w:ind w:left="0" w:firstLine="600"/>
        <w:rPr>
          <w:rFonts w:ascii="Times New Roman" w:hAnsi="Times New Roman" w:eastAsia="仿宋_GB2312" w:cs="Times New Roman"/>
          <w:sz w:val="30"/>
          <w:szCs w:val="30"/>
        </w:rPr>
      </w:pPr>
      <w:bookmarkStart w:id="217" w:name="_Toc130199833"/>
      <w:r>
        <w:rPr>
          <w:rFonts w:ascii="Times New Roman" w:hAnsi="Times New Roman" w:eastAsia="仿宋_GB2312" w:cs="Times New Roman"/>
          <w:sz w:val="30"/>
          <w:szCs w:val="30"/>
        </w:rPr>
        <w:t>经济效益</w:t>
      </w:r>
      <w:bookmarkEnd w:id="217"/>
    </w:p>
    <w:p>
      <w:pPr>
        <w:spacing w:line="560" w:lineRule="exact"/>
        <w:ind w:firstLine="600" w:firstLineChars="200"/>
        <w:rPr>
          <w:rFonts w:eastAsia="仿宋_GB2312"/>
          <w:b/>
          <w:bCs/>
        </w:rPr>
      </w:pPr>
      <w:r>
        <w:rPr>
          <w:rFonts w:hint="eastAsia" w:ascii="Times New Roman" w:hAnsi="Times New Roman" w:eastAsia="仿宋_GB2312" w:cs="Times New Roman"/>
          <w:color w:val="000000" w:themeColor="text1"/>
          <w:sz w:val="30"/>
          <w:szCs w:val="30"/>
        </w:rPr>
        <w:t>规划的实施，不但有效地保护了现有森林植被、提高森林资源质量，而且通过人工造林、补植套种、更新改造和林带整治等措施，将有效增加森林面积和森林蓄积，带来可观的木材储备效益。</w:t>
      </w:r>
    </w:p>
    <w:p>
      <w:pPr>
        <w:spacing w:line="560" w:lineRule="exact"/>
        <w:ind w:firstLine="600" w:firstLineChars="2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针对沙化耕地，通过保护性耕作等农艺措施，有效地增加了农田的产出，促进经济可持续发展和粮食稳定；通过适度发展，重点维护已建设的滨海旅游、林下经济、特色养殖等绿色生态产业，使沙区产业发展上规模，出效益，从而为沿海居民创造更多的财富。</w:t>
      </w:r>
    </w:p>
    <w:p>
      <w:pPr>
        <w:pStyle w:val="64"/>
        <w:numPr>
          <w:ilvl w:val="0"/>
          <w:numId w:val="30"/>
        </w:numPr>
        <w:spacing w:before="156" w:beforeLines="50" w:after="156" w:afterLines="50" w:line="276" w:lineRule="auto"/>
        <w:ind w:left="0" w:firstLine="0" w:firstLineChars="0"/>
        <w:rPr>
          <w:rFonts w:ascii="楷体" w:hAnsi="楷体" w:eastAsia="楷体"/>
          <w:sz w:val="32"/>
          <w:szCs w:val="32"/>
        </w:rPr>
      </w:pPr>
      <w:r>
        <w:rPr>
          <w:rFonts w:ascii="楷体" w:hAnsi="楷体" w:eastAsia="楷体"/>
          <w:sz w:val="32"/>
          <w:szCs w:val="32"/>
        </w:rPr>
        <w:t>关于环境影响评价</w:t>
      </w:r>
    </w:p>
    <w:p>
      <w:pPr>
        <w:pStyle w:val="64"/>
        <w:spacing w:line="560" w:lineRule="exact"/>
        <w:ind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防沙治沙主要目标是保护、修复沙化土地生态系统。实施《规划》，恢复林草植被，减轻风沙危害，有利于生态环境改善，对环境的影响是正面的，不会造成社会风险。在开展防沙治沙过程中，对地表土壤的扰动会产生短时性影响，通过严格执行环境保护等有关法律法规的规定，尽量减少人为活动。培育种植适宜沿海沙化土地生长的优良树种和草种，大力发展乡土树种。加大执法力度，严格实行沙区开发建设项目环境影响评价制度。加强生态环境保护科普教育，提高全民生态保护意识。</w:t>
      </w:r>
    </w:p>
    <w:p>
      <w:pPr>
        <w:pStyle w:val="64"/>
        <w:spacing w:line="560" w:lineRule="exact"/>
        <w:ind w:firstLine="600"/>
        <w:rPr>
          <w:rFonts w:ascii="Times New Roman" w:hAnsi="Times New Roman" w:eastAsia="仿宋_GB2312" w:cs="Times New Roman"/>
          <w:color w:val="000000" w:themeColor="text1"/>
          <w:sz w:val="30"/>
          <w:szCs w:val="30"/>
        </w:rPr>
      </w:pPr>
    </w:p>
    <w:p>
      <w:pPr>
        <w:spacing w:line="560" w:lineRule="exact"/>
        <w:jc w:val="center"/>
        <w:rPr>
          <w:rFonts w:ascii="Times New Roman" w:hAnsi="Times New Roman" w:eastAsia="方正小标宋简体" w:cs="Times New Roman"/>
          <w:color w:val="000000" w:themeColor="text1"/>
          <w:sz w:val="30"/>
          <w:szCs w:val="30"/>
        </w:rPr>
      </w:pPr>
    </w:p>
    <w:p>
      <w:pPr>
        <w:snapToGrid w:val="0"/>
        <w:spacing w:before="93" w:beforeLines="30" w:after="312" w:afterLines="100" w:line="480" w:lineRule="exact"/>
        <w:ind w:right="2460"/>
        <w:rPr>
          <w:rFonts w:ascii="Times New Roman" w:hAnsi="Times New Roman" w:eastAsia="仿宋_GB2312" w:cs="Times New Roman"/>
          <w:color w:val="000000" w:themeColor="text1"/>
          <w:sz w:val="30"/>
          <w:szCs w:val="30"/>
        </w:rPr>
        <w:sectPr>
          <w:footerReference r:id="rId8" w:type="default"/>
          <w:pgSz w:w="11906" w:h="16838"/>
          <w:pgMar w:top="1440" w:right="1800" w:bottom="1440" w:left="1800" w:header="851" w:footer="992" w:gutter="0"/>
          <w:pgNumType w:start="1"/>
          <w:cols w:space="425" w:num="1"/>
          <w:docGrid w:type="lines" w:linePitch="312" w:charSpace="0"/>
        </w:sectPr>
      </w:pPr>
    </w:p>
    <w:p>
      <w:pPr>
        <w:snapToGrid w:val="0"/>
        <w:spacing w:line="560" w:lineRule="exact"/>
        <w:ind w:right="28"/>
        <w:outlineLvl w:val="0"/>
        <w:rPr>
          <w:rFonts w:ascii="Times New Roman" w:hAnsi="Times New Roman" w:eastAsia="黑体" w:cs="Times New Roman"/>
          <w:bCs/>
          <w:sz w:val="28"/>
          <w:szCs w:val="28"/>
        </w:rPr>
      </w:pPr>
      <w:r>
        <w:rPr>
          <w:rFonts w:ascii="Times New Roman" w:hAnsi="Times New Roman" w:eastAsia="黑体" w:cs="Times New Roman"/>
          <w:bCs/>
          <w:sz w:val="28"/>
          <w:szCs w:val="28"/>
        </w:rPr>
        <w:t>附件2</w:t>
      </w:r>
    </w:p>
    <w:p>
      <w:pPr>
        <w:snapToGrid w:val="0"/>
        <w:spacing w:before="93" w:beforeLines="30" w:after="312" w:afterLines="100"/>
        <w:ind w:right="2461"/>
        <w:rPr>
          <w:rFonts w:ascii="Times New Roman" w:hAnsi="Times New Roman" w:eastAsia="仿宋_GB2312" w:cs="Times New Roman"/>
          <w:color w:val="000000" w:themeColor="text1"/>
          <w:sz w:val="30"/>
          <w:szCs w:val="30"/>
        </w:rPr>
        <w:sectPr>
          <w:footerReference r:id="rId9" w:type="default"/>
          <w:pgSz w:w="11906" w:h="16838"/>
          <w:pgMar w:top="1440" w:right="1800" w:bottom="1440" w:left="1800" w:header="851" w:footer="992" w:gutter="0"/>
          <w:pgNumType w:start="1"/>
          <w:cols w:space="425" w:num="1"/>
          <w:docGrid w:type="lines" w:linePitch="312" w:charSpace="0"/>
        </w:sectPr>
      </w:pPr>
      <w:r>
        <w:drawing>
          <wp:inline distT="0" distB="0" distL="0" distR="0">
            <wp:extent cx="5274310" cy="7459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7459980"/>
                    </a:xfrm>
                    <a:prstGeom prst="rect">
                      <a:avLst/>
                    </a:prstGeom>
                    <a:noFill/>
                    <a:ln>
                      <a:noFill/>
                    </a:ln>
                  </pic:spPr>
                </pic:pic>
              </a:graphicData>
            </a:graphic>
          </wp:inline>
        </w:drawing>
      </w:r>
    </w:p>
    <w:p>
      <w:pPr>
        <w:snapToGrid w:val="0"/>
        <w:spacing w:before="93" w:beforeLines="30" w:after="312" w:afterLines="100"/>
        <w:ind w:right="2461"/>
        <w:rPr>
          <w:rFonts w:ascii="Times New Roman" w:hAnsi="Times New Roman" w:eastAsia="仿宋_GB2312" w:cs="Times New Roman"/>
          <w:color w:val="000000" w:themeColor="text1"/>
          <w:sz w:val="30"/>
          <w:szCs w:val="30"/>
        </w:rPr>
        <w:sectPr>
          <w:footerReference r:id="rId10" w:type="default"/>
          <w:pgSz w:w="11906" w:h="16838"/>
          <w:pgMar w:top="1440" w:right="1800" w:bottom="1440" w:left="1800" w:header="851" w:footer="992" w:gutter="0"/>
          <w:pgNumType w:start="1"/>
          <w:cols w:space="425" w:num="1"/>
          <w:docGrid w:type="lines" w:linePitch="312" w:charSpace="0"/>
        </w:sectPr>
      </w:pPr>
      <w:r>
        <w:drawing>
          <wp:inline distT="0" distB="0" distL="0" distR="0">
            <wp:extent cx="5274310" cy="7461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7461250"/>
                    </a:xfrm>
                    <a:prstGeom prst="rect">
                      <a:avLst/>
                    </a:prstGeom>
                    <a:noFill/>
                    <a:ln>
                      <a:noFill/>
                    </a:ln>
                  </pic:spPr>
                </pic:pic>
              </a:graphicData>
            </a:graphic>
          </wp:inline>
        </w:drawing>
      </w:r>
    </w:p>
    <w:p>
      <w:pPr>
        <w:snapToGrid w:val="0"/>
        <w:spacing w:line="560" w:lineRule="exact"/>
        <w:ind w:right="28"/>
        <w:outlineLvl w:val="0"/>
        <w:rPr>
          <w:rFonts w:ascii="Times New Roman" w:hAnsi="Times New Roman" w:eastAsia="黑体" w:cs="Times New Roman"/>
          <w:bCs/>
          <w:sz w:val="28"/>
          <w:szCs w:val="28"/>
        </w:rPr>
      </w:pPr>
      <w:r>
        <w:rPr>
          <w:rFonts w:ascii="Times New Roman" w:hAnsi="Times New Roman" w:eastAsia="黑体" w:cs="Times New Roman"/>
          <w:bCs/>
          <w:sz w:val="28"/>
          <w:szCs w:val="28"/>
        </w:rPr>
        <w:t>附件3</w:t>
      </w:r>
    </w:p>
    <w:p>
      <w:pPr>
        <w:spacing w:line="560" w:lineRule="exact"/>
        <w:jc w:val="center"/>
        <w:rPr>
          <w:rFonts w:ascii="方正小标宋简体" w:hAnsi="Times New Roman" w:eastAsia="方正小标宋简体" w:cs="Times New Roman"/>
          <w:color w:val="000000" w:themeColor="text1"/>
          <w:sz w:val="30"/>
          <w:szCs w:val="30"/>
        </w:rPr>
      </w:pPr>
      <w:r>
        <w:rPr>
          <w:rFonts w:hint="eastAsia" w:ascii="方正小标宋简体" w:hAnsi="Times New Roman" w:eastAsia="方正小标宋简体" w:cs="Times New Roman"/>
          <w:color w:val="000000" w:themeColor="text1"/>
          <w:sz w:val="30"/>
          <w:szCs w:val="30"/>
        </w:rPr>
        <w:t>名词解释</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ascii="Times New Roman" w:hAnsi="Times New Roman" w:eastAsia="仿宋_GB2312" w:cs="Times New Roman"/>
          <w:color w:val="000000" w:themeColor="text1"/>
          <w:sz w:val="30"/>
          <w:szCs w:val="30"/>
        </w:rPr>
        <w:t>土地沙化：是指主要因人类不合理活动所导致的天然沙 漠扩展和沙质土壤上植被及覆盖物被破坏，形成流沙及沙土裸露的过程。</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沙化土地：是指在各种气候条件下，由于各种原因形成</w:t>
      </w:r>
      <w:r>
        <w:rPr>
          <w:rFonts w:ascii="Times New Roman" w:hAnsi="Times New Roman" w:eastAsia="仿宋_GB2312" w:cs="Times New Roman"/>
          <w:color w:val="000000" w:themeColor="text1"/>
          <w:sz w:val="30"/>
          <w:szCs w:val="30"/>
        </w:rPr>
        <w:t>的、地表呈现以沙（砾）物质为主要特征的退化土地。沙化土地包括：流动沙地（丘）、半固定沙地（丘）、固定沙地（丘）、沙化耕地、非生物治沙工程地、风蚀残丘（劣地）、戈壁。</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流动沙地：土壤质地为沙质，植被总盖度</w:t>
      </w:r>
      <w:r>
        <w:rPr>
          <w:rFonts w:ascii="Times New Roman" w:hAnsi="Times New Roman" w:eastAsia="仿宋_GB2312" w:cs="Times New Roman"/>
          <w:color w:val="000000" w:themeColor="text1"/>
          <w:sz w:val="30"/>
          <w:szCs w:val="30"/>
        </w:rPr>
        <w:t>&lt;10%，地表沙物质常处于流动状态的沙地。</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半固定沙地：土壤质地为沙质，</w:t>
      </w:r>
      <w:r>
        <w:rPr>
          <w:rFonts w:ascii="Times New Roman" w:hAnsi="Times New Roman" w:eastAsia="仿宋_GB2312" w:cs="Times New Roman"/>
          <w:color w:val="000000" w:themeColor="text1"/>
          <w:sz w:val="30"/>
          <w:szCs w:val="30"/>
        </w:rPr>
        <w:t>10%≤植被总盖度&lt;30%</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乔木林冠下无其他植被时，郁闭度&lt;0.50</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，风沙流活动受阻，但流沙纹理仍普遍存在的沙地或沙丘。</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固定沙地：土壤质地为沙质，植被总盖度≥</w:t>
      </w:r>
      <w:r>
        <w:rPr>
          <w:rFonts w:ascii="Times New Roman" w:hAnsi="Times New Roman" w:eastAsia="仿宋_GB2312" w:cs="Times New Roman"/>
          <w:color w:val="000000" w:themeColor="text1"/>
          <w:sz w:val="30"/>
          <w:szCs w:val="30"/>
        </w:rPr>
        <w:t>30%</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乔木林冠下无其他植被时，郁闭度≥0.50</w:t>
      </w:r>
      <w:r>
        <w:rPr>
          <w:rFonts w:hint="eastAsia" w:ascii="Times New Roman" w:hAnsi="Times New Roman" w:eastAsia="仿宋_GB2312" w:cs="Times New Roman"/>
          <w:color w:val="000000" w:themeColor="text1"/>
          <w:sz w:val="30"/>
          <w:szCs w:val="30"/>
        </w:rPr>
        <w:t>）</w:t>
      </w:r>
      <w:r>
        <w:rPr>
          <w:rFonts w:ascii="Times New Roman" w:hAnsi="Times New Roman" w:eastAsia="仿宋_GB2312" w:cs="Times New Roman"/>
          <w:color w:val="000000" w:themeColor="text1"/>
          <w:sz w:val="30"/>
          <w:szCs w:val="30"/>
        </w:rPr>
        <w:t>，风沙活动不明显，地表稳定或基本稳定的沙地或沙丘。</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pPr>
      <w:r>
        <w:rPr>
          <w:rFonts w:hint="eastAsia" w:ascii="Times New Roman" w:hAnsi="Times New Roman" w:eastAsia="仿宋_GB2312" w:cs="Times New Roman"/>
          <w:color w:val="000000" w:themeColor="text1"/>
          <w:sz w:val="30"/>
          <w:szCs w:val="30"/>
        </w:rPr>
        <w:t>沙化耕地：主要指没有科学完备的防护措施或灌溉条件，易受风沙危害，作物产量低而不稳的沙质耕地。</w:t>
      </w:r>
    </w:p>
    <w:p>
      <w:pPr>
        <w:pStyle w:val="64"/>
        <w:numPr>
          <w:ilvl w:val="0"/>
          <w:numId w:val="33"/>
        </w:numPr>
        <w:spacing w:before="156" w:beforeLines="50" w:after="156" w:afterLines="50" w:line="560" w:lineRule="exact"/>
        <w:ind w:left="0" w:firstLine="600"/>
        <w:rPr>
          <w:rFonts w:ascii="Times New Roman" w:hAnsi="Times New Roman" w:eastAsia="仿宋_GB2312" w:cs="Times New Roman"/>
          <w:color w:val="000000" w:themeColor="text1"/>
          <w:sz w:val="30"/>
          <w:szCs w:val="30"/>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color w:val="000000" w:themeColor="text1"/>
          <w:sz w:val="30"/>
          <w:szCs w:val="30"/>
        </w:rPr>
        <w:t>可治理沙化土地：是指在当前的经济、技术条件下，具</w:t>
      </w:r>
      <w:r>
        <w:rPr>
          <w:rFonts w:ascii="Times New Roman" w:hAnsi="Times New Roman" w:eastAsia="仿宋_GB2312" w:cs="Times New Roman"/>
          <w:color w:val="000000" w:themeColor="text1"/>
          <w:sz w:val="30"/>
          <w:szCs w:val="30"/>
        </w:rPr>
        <w:t>备治理所必需的气候、土壤及水资源等条件的沙化土地。难治理沙化土地是指除可治理沙化土地之外的其他沙化土地</w:t>
      </w:r>
      <w:r>
        <w:rPr>
          <w:rFonts w:hint="eastAsia" w:ascii="Times New Roman" w:hAnsi="Times New Roman" w:eastAsia="仿宋_GB2312" w:cs="Times New Roman"/>
          <w:color w:val="000000" w:themeColor="text1"/>
          <w:sz w:val="30"/>
          <w:szCs w:val="30"/>
        </w:rPr>
        <w:t>。</w:t>
      </w:r>
    </w:p>
    <w:p>
      <w:pPr>
        <w:spacing w:before="156" w:beforeLines="50" w:after="156" w:afterLines="50" w:line="560" w:lineRule="exact"/>
        <w:rPr>
          <w:rFonts w:ascii="Times New Roman" w:hAnsi="Times New Roman" w:eastAsia="仿宋_GB2312" w:cs="Times New Roman"/>
          <w:color w:val="000000" w:themeColor="text1"/>
          <w:sz w:val="30"/>
          <w:szCs w:val="30"/>
        </w:rPr>
      </w:pPr>
      <w:r>
        <w:drawing>
          <wp:anchor distT="0" distB="0" distL="114300" distR="114300" simplePos="0" relativeHeight="251659264" behindDoc="1" locked="0" layoutInCell="1" allowOverlap="1">
            <wp:simplePos x="0" y="0"/>
            <wp:positionH relativeFrom="column">
              <wp:posOffset>47625</wp:posOffset>
            </wp:positionH>
            <wp:positionV relativeFrom="paragraph">
              <wp:posOffset>-256540</wp:posOffset>
            </wp:positionV>
            <wp:extent cx="13194030" cy="93294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94030" cy="9329703"/>
                    </a:xfrm>
                    <a:prstGeom prst="rect">
                      <a:avLst/>
                    </a:prstGeom>
                    <a:noFill/>
                    <a:ln>
                      <a:noFill/>
                    </a:ln>
                  </pic:spPr>
                </pic:pic>
              </a:graphicData>
            </a:graphic>
          </wp:anchor>
        </w:drawing>
      </w:r>
      <w:r>
        <w:pict>
          <v:shape id="_x0000_s2059" o:spid="_x0000_s2059" o:spt="202" type="#_x0000_t202" style="position:absolute;left:0pt;margin-left:321.7pt;margin-top:-69.3pt;height:38.4pt;width:418.35pt;mso-position-horizontal-relative:margin;mso-wrap-distance-bottom:3.6pt;mso-wrap-distance-left:9pt;mso-wrap-distance-right:9pt;mso-wrap-distance-top:3.6pt;z-index:251675648;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1</w:t>
                  </w:r>
                  <w:r>
                    <w:rPr>
                      <w:rFonts w:ascii="黑体" w:hAnsi="黑体" w:eastAsia="黑体" w:cs="Times New Roman"/>
                      <w:color w:val="000000" w:themeColor="text1"/>
                      <w:sz w:val="30"/>
                      <w:szCs w:val="30"/>
                    </w:rPr>
                    <w:t xml:space="preserve">  </w:t>
                  </w:r>
                  <w:r>
                    <w:rPr>
                      <w:rFonts w:hint="eastAsia" w:ascii="黑体" w:hAnsi="黑体" w:eastAsia="黑体" w:cs="Times New Roman"/>
                      <w:color w:val="000000" w:themeColor="text1"/>
                      <w:sz w:val="30"/>
                      <w:szCs w:val="30"/>
                    </w:rPr>
                    <w:t>广东省防沙治沙规划总体布局示意图</w:t>
                  </w:r>
                </w:p>
              </w:txbxContent>
            </v:textbox>
            <w10:wrap type="square"/>
          </v:shape>
        </w:pict>
      </w:r>
    </w:p>
    <w:p>
      <w:pPr>
        <w:sectPr>
          <w:pgSz w:w="23811" w:h="16838" w:orient="landscape"/>
          <w:pgMar w:top="1800" w:right="1440" w:bottom="1800" w:left="1440" w:header="851" w:footer="992" w:gutter="0"/>
          <w:cols w:space="425" w:num="1"/>
          <w:docGrid w:type="lines" w:linePitch="312" w:charSpace="0"/>
        </w:sectPr>
      </w:pPr>
    </w:p>
    <w:p>
      <w:pPr>
        <w:spacing w:before="156" w:beforeLines="50" w:after="156" w:afterLines="50" w:line="560" w:lineRule="exact"/>
        <w:jc w:val="center"/>
        <w:rPr>
          <w:rFonts w:ascii="黑体" w:hAnsi="黑体" w:eastAsia="黑体" w:cs="Times New Roman"/>
          <w:color w:val="000000" w:themeColor="text1"/>
          <w:sz w:val="28"/>
          <w:szCs w:val="28"/>
        </w:rPr>
        <w:sectPr>
          <w:pgSz w:w="23811" w:h="16838" w:orient="landscape"/>
          <w:pgMar w:top="1800" w:right="1440" w:bottom="1800" w:left="1440" w:header="851" w:footer="992" w:gutter="0"/>
          <w:cols w:space="425" w:num="1"/>
          <w:docGrid w:type="lines" w:linePitch="312" w:charSpace="0"/>
        </w:sectPr>
      </w:pPr>
      <w:r>
        <w:rPr>
          <w:rFonts w:hint="eastAsia" w:ascii="黑体" w:hAnsi="黑体" w:eastAsia="黑体" w:cs="Times New Roman"/>
          <w:color w:val="000000" w:themeColor="text1"/>
          <w:sz w:val="28"/>
          <w:szCs w:val="28"/>
        </w:rPr>
        <w:drawing>
          <wp:anchor distT="0" distB="0" distL="114300" distR="114300" simplePos="0" relativeHeight="251660288" behindDoc="1" locked="0" layoutInCell="1" allowOverlap="1">
            <wp:simplePos x="0" y="0"/>
            <wp:positionH relativeFrom="margin">
              <wp:align>center</wp:align>
            </wp:positionH>
            <wp:positionV relativeFrom="paragraph">
              <wp:posOffset>-298450</wp:posOffset>
            </wp:positionV>
            <wp:extent cx="12854305" cy="90893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4580" cy="9089672"/>
                    </a:xfrm>
                    <a:prstGeom prst="rect">
                      <a:avLst/>
                    </a:prstGeom>
                  </pic:spPr>
                </pic:pic>
              </a:graphicData>
            </a:graphic>
          </wp:anchor>
        </w:drawing>
      </w:r>
      <w:r>
        <w:pict>
          <v:shape id="_x0000_s2050" o:spid="_x0000_s2050" o:spt="202" type="#_x0000_t202" style="position:absolute;left:0pt;margin-top:-62.25pt;height:38.4pt;width:418.45pt;mso-position-horizontal:center;mso-position-horizontal-relative:margin;mso-wrap-distance-bottom:3.6pt;mso-wrap-distance-left:9pt;mso-wrap-distance-right:9pt;mso-wrap-distance-top:3.6pt;z-index:251667456;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2</w:t>
                  </w:r>
                  <w:r>
                    <w:rPr>
                      <w:rFonts w:ascii="黑体" w:hAnsi="黑体" w:eastAsia="黑体" w:cs="Times New Roman"/>
                      <w:color w:val="000000" w:themeColor="text1"/>
                      <w:sz w:val="30"/>
                      <w:szCs w:val="30"/>
                    </w:rPr>
                    <w:t xml:space="preserve">  </w:t>
                  </w:r>
                  <w:r>
                    <w:rPr>
                      <w:rFonts w:hint="eastAsia" w:ascii="黑体" w:hAnsi="黑体" w:eastAsia="黑体" w:cs="Times New Roman"/>
                      <w:color w:val="000000" w:themeColor="text1"/>
                      <w:sz w:val="30"/>
                      <w:szCs w:val="30"/>
                    </w:rPr>
                    <w:t>广东省沙化土地类型分布示意图（粤东）</w:t>
                  </w:r>
                </w:p>
              </w:txbxContent>
            </v:textbox>
            <w10:wrap type="square"/>
          </v:shape>
        </w:pict>
      </w:r>
    </w:p>
    <w:p>
      <w:pPr>
        <w:spacing w:before="156" w:beforeLines="50" w:after="156" w:afterLines="50"/>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drawing>
          <wp:anchor distT="0" distB="0" distL="114300" distR="114300" simplePos="0" relativeHeight="251661312" behindDoc="1" locked="0" layoutInCell="1" allowOverlap="1">
            <wp:simplePos x="0" y="0"/>
            <wp:positionH relativeFrom="margin">
              <wp:posOffset>217805</wp:posOffset>
            </wp:positionH>
            <wp:positionV relativeFrom="paragraph">
              <wp:posOffset>-215265</wp:posOffset>
            </wp:positionV>
            <wp:extent cx="12854305" cy="908939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54305" cy="9089390"/>
                    </a:xfrm>
                    <a:prstGeom prst="rect">
                      <a:avLst/>
                    </a:prstGeom>
                  </pic:spPr>
                </pic:pic>
              </a:graphicData>
            </a:graphic>
          </wp:anchor>
        </w:drawing>
      </w:r>
      <w:r>
        <w:rPr>
          <w:rFonts w:ascii="黑体" w:hAnsi="黑体" w:eastAsia="黑体" w:cs="Times New Roman"/>
          <w:sz w:val="28"/>
          <w:szCs w:val="28"/>
        </w:rPr>
        <w:pict>
          <v:shape id="_x0000_s2051" o:spid="_x0000_s2051" o:spt="202" type="#_x0000_t202" style="position:absolute;left:0pt;margin-left:313.95pt;margin-top:-68.75pt;height:38.4pt;width:418.6pt;mso-position-horizontal-relative:margin;mso-wrap-distance-bottom:3.6pt;mso-wrap-distance-left:9pt;mso-wrap-distance-right:9pt;mso-wrap-distance-top:3.6pt;z-index:251668480;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3</w:t>
                  </w:r>
                  <w:r>
                    <w:rPr>
                      <w:rFonts w:ascii="黑体" w:hAnsi="黑体" w:eastAsia="黑体" w:cs="Times New Roman"/>
                      <w:color w:val="000000" w:themeColor="text1"/>
                      <w:sz w:val="30"/>
                      <w:szCs w:val="30"/>
                    </w:rPr>
                    <w:t xml:space="preserve">  </w:t>
                  </w:r>
                  <w:r>
                    <w:rPr>
                      <w:rFonts w:hint="eastAsia" w:ascii="黑体" w:hAnsi="黑体" w:eastAsia="黑体" w:cs="Times New Roman"/>
                      <w:color w:val="000000" w:themeColor="text1"/>
                      <w:sz w:val="30"/>
                      <w:szCs w:val="30"/>
                    </w:rPr>
                    <w:t>广东省沙化土地类型分布示意图（粤西）</w:t>
                  </w:r>
                </w:p>
              </w:txbxContent>
            </v:textbox>
            <w10:wrap type="square"/>
          </v:shape>
        </w:pict>
      </w:r>
    </w:p>
    <w:p>
      <w:pPr>
        <w:rPr>
          <w:rFonts w:ascii="黑体" w:hAnsi="黑体" w:eastAsia="黑体" w:cs="Times New Roman"/>
          <w:sz w:val="28"/>
          <w:szCs w:val="28"/>
        </w:rPr>
        <w:sectPr>
          <w:pgSz w:w="23811" w:h="16838" w:orient="landscape"/>
          <w:pgMar w:top="1800" w:right="1440" w:bottom="1800" w:left="1440" w:header="851" w:footer="992" w:gutter="0"/>
          <w:cols w:space="425" w:num="1"/>
          <w:docGrid w:type="lines" w:linePitch="312" w:charSpace="0"/>
        </w:sectPr>
      </w:pPr>
    </w:p>
    <w:p>
      <w:pPr>
        <w:spacing w:before="156" w:beforeLines="50" w:after="156" w:afterLines="50"/>
        <w:jc w:val="center"/>
        <w:rPr>
          <w:rFonts w:ascii="黑体" w:hAnsi="黑体" w:eastAsia="黑体" w:cs="Times New Roman"/>
          <w:color w:val="000000" w:themeColor="text1"/>
          <w:sz w:val="28"/>
          <w:szCs w:val="28"/>
        </w:rPr>
        <w:sectPr>
          <w:pgSz w:w="23811" w:h="16838" w:orient="landscape"/>
          <w:pgMar w:top="1800" w:right="1440" w:bottom="1800" w:left="1440" w:header="851" w:footer="992" w:gutter="0"/>
          <w:cols w:space="425" w:num="1"/>
          <w:docGrid w:type="lines" w:linePitch="312" w:charSpace="0"/>
        </w:sectPr>
      </w:pPr>
      <w:r>
        <w:rPr>
          <w:rFonts w:hint="eastAsia" w:ascii="黑体" w:hAnsi="黑体" w:eastAsia="黑体" w:cs="Times New Roman"/>
          <w:color w:val="000000" w:themeColor="text1"/>
          <w:sz w:val="28"/>
          <w:szCs w:val="28"/>
        </w:rPr>
        <w:drawing>
          <wp:anchor distT="0" distB="0" distL="114300" distR="114300" simplePos="0" relativeHeight="251664384" behindDoc="1" locked="0" layoutInCell="1" allowOverlap="1">
            <wp:simplePos x="0" y="0"/>
            <wp:positionH relativeFrom="margin">
              <wp:posOffset>217805</wp:posOffset>
            </wp:positionH>
            <wp:positionV relativeFrom="paragraph">
              <wp:posOffset>-228600</wp:posOffset>
            </wp:positionV>
            <wp:extent cx="12854305" cy="908939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4578" cy="9089672"/>
                    </a:xfrm>
                    <a:prstGeom prst="rect">
                      <a:avLst/>
                    </a:prstGeom>
                  </pic:spPr>
                </pic:pic>
              </a:graphicData>
            </a:graphic>
          </wp:anchor>
        </w:drawing>
      </w:r>
      <w:r>
        <w:rPr>
          <w:rFonts w:ascii="黑体" w:hAnsi="黑体" w:eastAsia="黑体" w:cs="Times New Roman"/>
          <w:color w:val="000000" w:themeColor="text1"/>
          <w:sz w:val="28"/>
          <w:szCs w:val="28"/>
        </w:rPr>
        <w:pict>
          <v:shape id="_x0000_s2052" o:spid="_x0000_s2052" o:spt="202" type="#_x0000_t202" style="position:absolute;left:0pt;margin-left:313.95pt;margin-top:-68.75pt;height:38.4pt;width:418.6pt;mso-position-horizontal-relative:margin;mso-wrap-distance-bottom:3.6pt;mso-wrap-distance-left:9pt;mso-wrap-distance-right:9pt;mso-wrap-distance-top:3.6pt;z-index:251669504;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4</w:t>
                  </w:r>
                  <w:r>
                    <w:rPr>
                      <w:rFonts w:ascii="黑体" w:hAnsi="黑体" w:eastAsia="黑体" w:cs="Times New Roman"/>
                      <w:color w:val="000000" w:themeColor="text1"/>
                      <w:sz w:val="30"/>
                      <w:szCs w:val="30"/>
                    </w:rPr>
                    <w:t xml:space="preserve">  广东省沙化土地程度分布示意图（粤东）</w:t>
                  </w:r>
                </w:p>
              </w:txbxContent>
            </v:textbox>
            <w10:wrap type="square"/>
          </v:shape>
        </w:pict>
      </w:r>
    </w:p>
    <w:p>
      <w:pPr>
        <w:tabs>
          <w:tab w:val="left" w:pos="2806"/>
          <w:tab w:val="center" w:pos="10465"/>
        </w:tabs>
        <w:spacing w:before="156" w:beforeLines="50" w:after="156" w:afterLines="50"/>
        <w:jc w:val="left"/>
        <w:rPr>
          <w:rFonts w:ascii="黑体" w:hAnsi="黑体" w:eastAsia="黑体" w:cs="Times New Roman"/>
          <w:color w:val="000000" w:themeColor="text1"/>
          <w:sz w:val="28"/>
          <w:szCs w:val="28"/>
        </w:rPr>
        <w:sectPr>
          <w:pgSz w:w="23811" w:h="16838" w:orient="landscape"/>
          <w:pgMar w:top="1800" w:right="1440" w:bottom="1800" w:left="1440" w:header="851" w:footer="992" w:gutter="0"/>
          <w:cols w:space="425" w:num="1"/>
          <w:docGrid w:type="lines" w:linePitch="312" w:charSpace="0"/>
        </w:sectPr>
      </w:pPr>
      <w:r>
        <w:rPr>
          <w:rFonts w:ascii="黑体" w:hAnsi="黑体" w:eastAsia="黑体" w:cs="Times New Roman"/>
          <w:color w:val="000000" w:themeColor="text1"/>
          <w:sz w:val="28"/>
          <w:szCs w:val="28"/>
        </w:rPr>
        <w:drawing>
          <wp:anchor distT="0" distB="0" distL="114300" distR="114300" simplePos="0" relativeHeight="251662336" behindDoc="0" locked="0" layoutInCell="1" allowOverlap="1">
            <wp:simplePos x="0" y="0"/>
            <wp:positionH relativeFrom="margin">
              <wp:posOffset>217805</wp:posOffset>
            </wp:positionH>
            <wp:positionV relativeFrom="paragraph">
              <wp:posOffset>-215265</wp:posOffset>
            </wp:positionV>
            <wp:extent cx="12854940" cy="908939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54940" cy="9089390"/>
                    </a:xfrm>
                    <a:prstGeom prst="rect">
                      <a:avLst/>
                    </a:prstGeom>
                  </pic:spPr>
                </pic:pic>
              </a:graphicData>
            </a:graphic>
          </wp:anchor>
        </w:drawing>
      </w:r>
      <w:r>
        <w:rPr>
          <w:rFonts w:ascii="黑体" w:hAnsi="黑体" w:eastAsia="黑体" w:cs="Times New Roman"/>
          <w:color w:val="000000" w:themeColor="text1"/>
          <w:sz w:val="28"/>
          <w:szCs w:val="28"/>
        </w:rPr>
        <w:pict>
          <v:shape id="_x0000_s2053" o:spid="_x0000_s2053" o:spt="202" type="#_x0000_t202" style="position:absolute;left:0pt;margin-left:325.95pt;margin-top:-66.95pt;height:38.4pt;width:418.6pt;mso-position-horizontal-relative:margin;mso-wrap-distance-bottom:3.6pt;mso-wrap-distance-left:9pt;mso-wrap-distance-right:9pt;mso-wrap-distance-top:3.6pt;z-index:251670528;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5</w:t>
                  </w:r>
                  <w:r>
                    <w:rPr>
                      <w:rFonts w:ascii="黑体" w:hAnsi="黑体" w:eastAsia="黑体" w:cs="Times New Roman"/>
                      <w:color w:val="000000" w:themeColor="text1"/>
                      <w:sz w:val="30"/>
                      <w:szCs w:val="30"/>
                    </w:rPr>
                    <w:t xml:space="preserve">  广东省沙化土地程度分布示意图（粤</w:t>
                  </w:r>
                  <w:r>
                    <w:rPr>
                      <w:rFonts w:hint="eastAsia" w:ascii="黑体" w:hAnsi="黑体" w:eastAsia="黑体" w:cs="Times New Roman"/>
                      <w:color w:val="000000" w:themeColor="text1"/>
                      <w:sz w:val="30"/>
                      <w:szCs w:val="30"/>
                    </w:rPr>
                    <w:t>西</w:t>
                  </w:r>
                  <w:r>
                    <w:rPr>
                      <w:rFonts w:ascii="黑体" w:hAnsi="黑体" w:eastAsia="黑体" w:cs="Times New Roman"/>
                      <w:color w:val="000000" w:themeColor="text1"/>
                      <w:sz w:val="30"/>
                      <w:szCs w:val="30"/>
                    </w:rPr>
                    <w:t>）</w:t>
                  </w:r>
                </w:p>
              </w:txbxContent>
            </v:textbox>
            <w10:wrap type="square"/>
          </v:shape>
        </w:pict>
      </w:r>
      <w:r>
        <w:rPr>
          <w:rFonts w:ascii="黑体" w:hAnsi="黑体" w:eastAsia="黑体" w:cs="Times New Roman"/>
          <w:color w:val="000000" w:themeColor="text1"/>
          <w:sz w:val="28"/>
          <w:szCs w:val="28"/>
        </w:rPr>
        <w:tab/>
      </w:r>
      <w:r>
        <w:rPr>
          <w:rFonts w:ascii="黑体" w:hAnsi="黑体" w:eastAsia="黑体" w:cs="Times New Roman"/>
          <w:color w:val="000000" w:themeColor="text1"/>
          <w:sz w:val="28"/>
          <w:szCs w:val="28"/>
        </w:rPr>
        <w:tab/>
      </w:r>
    </w:p>
    <w:p>
      <w:pPr>
        <w:tabs>
          <w:tab w:val="left" w:pos="1791"/>
          <w:tab w:val="center" w:pos="10465"/>
        </w:tabs>
        <w:spacing w:before="156" w:beforeLines="50" w:after="156" w:afterLines="50"/>
        <w:jc w:val="left"/>
        <w:rPr>
          <w:rFonts w:ascii="黑体" w:hAnsi="黑体" w:eastAsia="黑体" w:cs="Times New Roman"/>
          <w:color w:val="000000" w:themeColor="text1"/>
          <w:sz w:val="28"/>
          <w:szCs w:val="28"/>
        </w:rPr>
        <w:sectPr>
          <w:pgSz w:w="23811" w:h="16838" w:orient="landscape"/>
          <w:pgMar w:top="1800" w:right="1440" w:bottom="1800" w:left="1440" w:header="851" w:footer="992" w:gutter="0"/>
          <w:cols w:space="425" w:num="1"/>
          <w:docGrid w:type="lines" w:linePitch="312" w:charSpace="0"/>
        </w:sectPr>
      </w:pPr>
      <w:r>
        <w:rPr>
          <w:rFonts w:ascii="黑体" w:hAnsi="黑体" w:eastAsia="黑体" w:cs="Times New Roman"/>
          <w:color w:val="000000" w:themeColor="text1"/>
          <w:sz w:val="28"/>
          <w:szCs w:val="28"/>
        </w:rPr>
        <w:drawing>
          <wp:anchor distT="0" distB="0" distL="114300" distR="114300" simplePos="0" relativeHeight="251663360" behindDoc="0" locked="0" layoutInCell="1" allowOverlap="1">
            <wp:simplePos x="0" y="0"/>
            <wp:positionH relativeFrom="margin">
              <wp:posOffset>217805</wp:posOffset>
            </wp:positionH>
            <wp:positionV relativeFrom="paragraph">
              <wp:posOffset>-228600</wp:posOffset>
            </wp:positionV>
            <wp:extent cx="12854940" cy="908939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54940" cy="9089390"/>
                    </a:xfrm>
                    <a:prstGeom prst="rect">
                      <a:avLst/>
                    </a:prstGeom>
                  </pic:spPr>
                </pic:pic>
              </a:graphicData>
            </a:graphic>
          </wp:anchor>
        </w:drawing>
      </w:r>
      <w:r>
        <w:rPr>
          <w:rFonts w:ascii="黑体" w:hAnsi="黑体" w:eastAsia="黑体" w:cs="Times New Roman"/>
          <w:color w:val="000000" w:themeColor="text1"/>
          <w:sz w:val="28"/>
          <w:szCs w:val="28"/>
        </w:rPr>
        <w:pict>
          <v:shape id="_x0000_s2054" o:spid="_x0000_s2054" o:spt="202" type="#_x0000_t202" style="position:absolute;left:0pt;margin-left:313.95pt;margin-top:-72.45pt;height:38.4pt;width:418.4pt;mso-position-horizontal-relative:margin;mso-wrap-distance-bottom:3.6pt;mso-wrap-distance-left:9pt;mso-wrap-distance-right:9pt;mso-wrap-distance-top:3.6pt;z-index:251671552;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6</w:t>
                  </w:r>
                  <w:r>
                    <w:rPr>
                      <w:rFonts w:ascii="黑体" w:hAnsi="黑体" w:eastAsia="黑体" w:cs="Times New Roman"/>
                      <w:color w:val="000000" w:themeColor="text1"/>
                      <w:sz w:val="30"/>
                      <w:szCs w:val="30"/>
                    </w:rPr>
                    <w:t xml:space="preserve">  </w:t>
                  </w:r>
                  <w:r>
                    <w:rPr>
                      <w:rFonts w:hint="eastAsia" w:ascii="黑体" w:hAnsi="黑体" w:eastAsia="黑体" w:cs="Times New Roman"/>
                      <w:color w:val="000000" w:themeColor="text1"/>
                      <w:sz w:val="30"/>
                      <w:szCs w:val="30"/>
                    </w:rPr>
                    <w:t>广东省沙化土地利用类型分布示意图（粤东）</w:t>
                  </w:r>
                </w:p>
              </w:txbxContent>
            </v:textbox>
            <w10:wrap type="square"/>
          </v:shape>
        </w:pict>
      </w:r>
      <w:r>
        <w:rPr>
          <w:rFonts w:ascii="黑体" w:hAnsi="黑体" w:eastAsia="黑体" w:cs="Times New Roman"/>
          <w:color w:val="000000" w:themeColor="text1"/>
          <w:sz w:val="28"/>
          <w:szCs w:val="28"/>
        </w:rPr>
        <w:tab/>
      </w:r>
      <w:r>
        <w:rPr>
          <w:rFonts w:ascii="黑体" w:hAnsi="黑体" w:eastAsia="黑体" w:cs="Times New Roman"/>
          <w:color w:val="000000" w:themeColor="text1"/>
          <w:sz w:val="28"/>
          <w:szCs w:val="28"/>
        </w:rPr>
        <w:tab/>
      </w:r>
    </w:p>
    <w:p>
      <w:pPr>
        <w:tabs>
          <w:tab w:val="left" w:pos="561"/>
          <w:tab w:val="center" w:pos="10465"/>
        </w:tabs>
        <w:spacing w:before="156" w:beforeLines="50" w:after="156" w:afterLines="50"/>
        <w:jc w:val="left"/>
        <w:rPr>
          <w:rFonts w:ascii="黑体" w:hAnsi="黑体" w:eastAsia="黑体" w:cs="Times New Roman"/>
          <w:color w:val="000000" w:themeColor="text1"/>
          <w:sz w:val="28"/>
          <w:szCs w:val="28"/>
        </w:rPr>
        <w:sectPr>
          <w:pgSz w:w="23811" w:h="16838" w:orient="landscape"/>
          <w:pgMar w:top="1800" w:right="1440" w:bottom="1800" w:left="1440" w:header="851" w:footer="992" w:gutter="0"/>
          <w:cols w:space="425" w:num="1"/>
          <w:docGrid w:type="lines" w:linePitch="312" w:charSpace="0"/>
        </w:sectPr>
      </w:pPr>
      <w:r>
        <w:rPr>
          <w:rFonts w:ascii="黑体" w:hAnsi="黑体" w:eastAsia="黑体" w:cs="Times New Roman"/>
          <w:color w:val="000000" w:themeColor="text1"/>
          <w:sz w:val="28"/>
          <w:szCs w:val="28"/>
        </w:rPr>
        <w:drawing>
          <wp:anchor distT="0" distB="0" distL="114300" distR="114300" simplePos="0" relativeHeight="251664384" behindDoc="0" locked="0" layoutInCell="1" allowOverlap="1">
            <wp:simplePos x="0" y="0"/>
            <wp:positionH relativeFrom="margin">
              <wp:posOffset>218440</wp:posOffset>
            </wp:positionH>
            <wp:positionV relativeFrom="paragraph">
              <wp:posOffset>-215265</wp:posOffset>
            </wp:positionV>
            <wp:extent cx="12853670" cy="908939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53670" cy="9089390"/>
                    </a:xfrm>
                    <a:prstGeom prst="rect">
                      <a:avLst/>
                    </a:prstGeom>
                  </pic:spPr>
                </pic:pic>
              </a:graphicData>
            </a:graphic>
          </wp:anchor>
        </w:drawing>
      </w:r>
      <w:r>
        <w:rPr>
          <w:rFonts w:ascii="黑体" w:hAnsi="黑体" w:eastAsia="黑体" w:cs="Times New Roman"/>
          <w:color w:val="000000" w:themeColor="text1"/>
          <w:sz w:val="28"/>
          <w:szCs w:val="28"/>
        </w:rPr>
        <w:pict>
          <v:shape id="_x0000_s2055" o:spid="_x0000_s2055" o:spt="202" type="#_x0000_t202" style="position:absolute;left:0pt;margin-left:313.95pt;margin-top:-70.95pt;height:38.4pt;width:418.4pt;mso-position-horizontal-relative:margin;mso-wrap-distance-bottom:3.6pt;mso-wrap-distance-left:9pt;mso-wrap-distance-right:9pt;mso-wrap-distance-top:3.6pt;z-index:251672576;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7</w:t>
                  </w:r>
                  <w:r>
                    <w:rPr>
                      <w:rFonts w:ascii="黑体" w:hAnsi="黑体" w:eastAsia="黑体" w:cs="Times New Roman"/>
                      <w:color w:val="000000" w:themeColor="text1"/>
                      <w:sz w:val="30"/>
                      <w:szCs w:val="30"/>
                    </w:rPr>
                    <w:t xml:space="preserve">  </w:t>
                  </w:r>
                  <w:r>
                    <w:rPr>
                      <w:rFonts w:hint="eastAsia" w:ascii="黑体" w:hAnsi="黑体" w:eastAsia="黑体" w:cs="Times New Roman"/>
                      <w:color w:val="000000" w:themeColor="text1"/>
                      <w:sz w:val="30"/>
                      <w:szCs w:val="30"/>
                    </w:rPr>
                    <w:t>广东省沙化土地利用类型分布示意图（粤西）</w:t>
                  </w:r>
                </w:p>
              </w:txbxContent>
            </v:textbox>
            <w10:wrap type="square"/>
          </v:shape>
        </w:pict>
      </w:r>
      <w:r>
        <w:rPr>
          <w:rFonts w:ascii="黑体" w:hAnsi="黑体" w:eastAsia="黑体" w:cs="Times New Roman"/>
          <w:color w:val="000000" w:themeColor="text1"/>
          <w:sz w:val="28"/>
          <w:szCs w:val="28"/>
        </w:rPr>
        <w:tab/>
      </w:r>
      <w:r>
        <w:rPr>
          <w:rFonts w:ascii="黑体" w:hAnsi="黑体" w:eastAsia="黑体" w:cs="Times New Roman"/>
          <w:color w:val="000000" w:themeColor="text1"/>
          <w:sz w:val="28"/>
          <w:szCs w:val="28"/>
        </w:rPr>
        <w:tab/>
      </w:r>
    </w:p>
    <w:p>
      <w:pPr>
        <w:tabs>
          <w:tab w:val="left" w:pos="849"/>
          <w:tab w:val="center" w:pos="10465"/>
        </w:tabs>
        <w:spacing w:before="156" w:beforeLines="50" w:after="156" w:afterLines="50"/>
        <w:jc w:val="left"/>
        <w:rPr>
          <w:rFonts w:ascii="黑体" w:hAnsi="黑体" w:eastAsia="黑体" w:cs="Times New Roman"/>
          <w:color w:val="000000" w:themeColor="text1"/>
          <w:sz w:val="28"/>
          <w:szCs w:val="28"/>
        </w:rPr>
        <w:sectPr>
          <w:pgSz w:w="23811" w:h="16838" w:orient="landscape"/>
          <w:pgMar w:top="1800" w:right="1440" w:bottom="1800" w:left="1440" w:header="851" w:footer="992" w:gutter="0"/>
          <w:cols w:space="425" w:num="1"/>
          <w:docGrid w:type="lines" w:linePitch="312" w:charSpace="0"/>
        </w:sectPr>
      </w:pPr>
      <w:r>
        <w:rPr>
          <w:rFonts w:ascii="黑体" w:hAnsi="黑体" w:eastAsia="黑体" w:cs="Times New Roman"/>
          <w:color w:val="000000" w:themeColor="text1"/>
          <w:sz w:val="28"/>
          <w:szCs w:val="28"/>
        </w:rPr>
        <w:drawing>
          <wp:anchor distT="0" distB="0" distL="114300" distR="114300" simplePos="0" relativeHeight="251665408" behindDoc="1" locked="0" layoutInCell="1" allowOverlap="1">
            <wp:simplePos x="0" y="0"/>
            <wp:positionH relativeFrom="margin">
              <wp:posOffset>217805</wp:posOffset>
            </wp:positionH>
            <wp:positionV relativeFrom="paragraph">
              <wp:posOffset>-201295</wp:posOffset>
            </wp:positionV>
            <wp:extent cx="12854940" cy="908939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54940" cy="9089390"/>
                    </a:xfrm>
                    <a:prstGeom prst="rect">
                      <a:avLst/>
                    </a:prstGeom>
                  </pic:spPr>
                </pic:pic>
              </a:graphicData>
            </a:graphic>
          </wp:anchor>
        </w:drawing>
      </w:r>
      <w:r>
        <w:rPr>
          <w:rFonts w:ascii="黑体" w:hAnsi="黑体" w:eastAsia="黑体" w:cs="Times New Roman"/>
          <w:color w:val="000000" w:themeColor="text1"/>
          <w:sz w:val="28"/>
          <w:szCs w:val="28"/>
        </w:rPr>
        <w:pict>
          <v:shape id="_x0000_s2056" o:spid="_x0000_s2056" o:spt="202" type="#_x0000_t202" style="position:absolute;left:0pt;margin-top:-68.15pt;height:38.4pt;width:418.6pt;mso-position-horizontal:center;mso-position-horizontal-relative:margin;mso-wrap-distance-bottom:3.6pt;mso-wrap-distance-left:9pt;mso-wrap-distance-right:9pt;mso-wrap-distance-top:3.6pt;z-index:251673600;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8</w:t>
                  </w:r>
                  <w:r>
                    <w:rPr>
                      <w:rFonts w:ascii="黑体" w:hAnsi="黑体" w:eastAsia="黑体" w:cs="Times New Roman"/>
                      <w:color w:val="000000" w:themeColor="text1"/>
                      <w:sz w:val="30"/>
                      <w:szCs w:val="30"/>
                    </w:rPr>
                    <w:t xml:space="preserve">  广东省已治理沙化土地治理程度分布示意图（粤东）</w:t>
                  </w:r>
                </w:p>
              </w:txbxContent>
            </v:textbox>
            <w10:wrap type="square"/>
          </v:shape>
        </w:pict>
      </w:r>
      <w:r>
        <w:rPr>
          <w:rFonts w:ascii="黑体" w:hAnsi="黑体" w:eastAsia="黑体" w:cs="Times New Roman"/>
          <w:color w:val="000000" w:themeColor="text1"/>
          <w:sz w:val="28"/>
          <w:szCs w:val="28"/>
        </w:rPr>
        <w:tab/>
      </w:r>
      <w:r>
        <w:rPr>
          <w:rFonts w:ascii="黑体" w:hAnsi="黑体" w:eastAsia="黑体" w:cs="Times New Roman"/>
          <w:color w:val="000000" w:themeColor="text1"/>
          <w:sz w:val="28"/>
          <w:szCs w:val="28"/>
        </w:rPr>
        <w:tab/>
      </w:r>
    </w:p>
    <w:p>
      <w:pPr>
        <w:tabs>
          <w:tab w:val="left" w:pos="794"/>
          <w:tab w:val="center" w:pos="10465"/>
        </w:tabs>
        <w:spacing w:before="156" w:beforeLines="50" w:after="156" w:afterLines="50"/>
        <w:jc w:val="left"/>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drawing>
          <wp:anchor distT="0" distB="0" distL="114300" distR="114300" simplePos="0" relativeHeight="251666432" behindDoc="0" locked="0" layoutInCell="1" allowOverlap="1">
            <wp:simplePos x="0" y="0"/>
            <wp:positionH relativeFrom="margin">
              <wp:posOffset>217805</wp:posOffset>
            </wp:positionH>
            <wp:positionV relativeFrom="paragraph">
              <wp:posOffset>-242570</wp:posOffset>
            </wp:positionV>
            <wp:extent cx="12854940" cy="908939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54940" cy="9089390"/>
                    </a:xfrm>
                    <a:prstGeom prst="rect">
                      <a:avLst/>
                    </a:prstGeom>
                  </pic:spPr>
                </pic:pic>
              </a:graphicData>
            </a:graphic>
          </wp:anchor>
        </w:drawing>
      </w:r>
      <w:r>
        <w:rPr>
          <w:rFonts w:ascii="黑体" w:hAnsi="黑体" w:eastAsia="黑体" w:cs="Times New Roman"/>
          <w:color w:val="000000" w:themeColor="text1"/>
          <w:sz w:val="28"/>
          <w:szCs w:val="28"/>
        </w:rPr>
        <w:pict>
          <v:shape id="_x0000_s2057" o:spid="_x0000_s2057" o:spt="202" type="#_x0000_t202" style="position:absolute;left:0pt;margin-left:313.95pt;margin-top:-72.75pt;height:38.4pt;width:418.4pt;mso-position-horizontal-relative:margin;mso-wrap-distance-bottom:3.6pt;mso-wrap-distance-left:9pt;mso-wrap-distance-right:9pt;mso-wrap-distance-top:3.6pt;z-index:251674624;mso-width-relative:margin;mso-height-relative:margin;mso-width-percent:400;mso-height-percent:200;" stroked="f" coordsize="21600,21600">
            <v:path/>
            <v:fill focussize="0,0"/>
            <v:stroke on="f" joinstyle="miter"/>
            <v:imagedata o:title=""/>
            <o:lock v:ext="edit"/>
            <v:textbox style="mso-fit-shape-to-text:t;">
              <w:txbxContent>
                <w:p>
                  <w:pPr>
                    <w:jc w:val="center"/>
                    <w:rPr>
                      <w:rFonts w:ascii="黑体" w:hAnsi="黑体" w:eastAsia="黑体" w:cs="Times New Roman"/>
                      <w:color w:val="000000" w:themeColor="text1"/>
                      <w:sz w:val="30"/>
                      <w:szCs w:val="30"/>
                    </w:rPr>
                  </w:pPr>
                  <w:r>
                    <w:rPr>
                      <w:rFonts w:hint="eastAsia" w:ascii="黑体" w:hAnsi="黑体" w:eastAsia="黑体" w:cs="Times New Roman"/>
                      <w:color w:val="000000" w:themeColor="text1"/>
                      <w:sz w:val="30"/>
                      <w:szCs w:val="30"/>
                    </w:rPr>
                    <w:t>附图</w:t>
                  </w:r>
                  <w:r>
                    <w:rPr>
                      <w:rFonts w:ascii="Times New Roman" w:hAnsi="Times New Roman" w:eastAsia="黑体" w:cs="Times New Roman"/>
                      <w:color w:val="000000" w:themeColor="text1"/>
                      <w:sz w:val="30"/>
                      <w:szCs w:val="30"/>
                    </w:rPr>
                    <w:t>9</w:t>
                  </w:r>
                  <w:r>
                    <w:rPr>
                      <w:rFonts w:ascii="黑体" w:hAnsi="黑体" w:eastAsia="黑体" w:cs="Times New Roman"/>
                      <w:color w:val="000000" w:themeColor="text1"/>
                      <w:sz w:val="30"/>
                      <w:szCs w:val="30"/>
                    </w:rPr>
                    <w:t xml:space="preserve">  广东省已治理沙化土地治理程度分布示意图（粤</w:t>
                  </w:r>
                  <w:r>
                    <w:rPr>
                      <w:rFonts w:hint="eastAsia" w:ascii="黑体" w:hAnsi="黑体" w:eastAsia="黑体" w:cs="Times New Roman"/>
                      <w:color w:val="000000" w:themeColor="text1"/>
                      <w:sz w:val="30"/>
                      <w:szCs w:val="30"/>
                    </w:rPr>
                    <w:t>西</w:t>
                  </w:r>
                  <w:r>
                    <w:rPr>
                      <w:rFonts w:ascii="黑体" w:hAnsi="黑体" w:eastAsia="黑体" w:cs="Times New Roman"/>
                      <w:color w:val="000000" w:themeColor="text1"/>
                      <w:sz w:val="30"/>
                      <w:szCs w:val="30"/>
                    </w:rPr>
                    <w:t>）</w:t>
                  </w:r>
                </w:p>
              </w:txbxContent>
            </v:textbox>
            <w10:wrap type="square"/>
          </v:shape>
        </w:pict>
      </w:r>
      <w:r>
        <w:rPr>
          <w:rFonts w:ascii="黑体" w:hAnsi="黑体" w:eastAsia="黑体" w:cs="Times New Roman"/>
          <w:color w:val="000000" w:themeColor="text1"/>
          <w:sz w:val="28"/>
          <w:szCs w:val="28"/>
        </w:rPr>
        <w:tab/>
      </w:r>
      <w:r>
        <w:rPr>
          <w:rFonts w:ascii="黑体" w:hAnsi="黑体" w:eastAsia="黑体" w:cs="Times New Roman"/>
          <w:color w:val="000000" w:themeColor="text1"/>
          <w:sz w:val="28"/>
          <w:szCs w:val="28"/>
        </w:rPr>
        <w:tab/>
      </w:r>
    </w:p>
    <w:p>
      <w:pPr>
        <w:spacing w:line="560" w:lineRule="exact"/>
        <w:rPr>
          <w:rFonts w:ascii="Times New Roman" w:hAnsi="Times New Roman" w:eastAsia="仿宋_GB2312" w:cs="Times New Roman"/>
          <w:color w:val="000000" w:themeColor="text1"/>
          <w:sz w:val="30"/>
          <w:szCs w:val="30"/>
        </w:rPr>
      </w:pP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大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6113697"/>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w:t>
        </w:r>
        <w:r>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5441913"/>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w:t>
        </w:r>
        <w:r>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eastAsia="仿宋_GB2312" w:cs="Times New Roman"/>
        <w:sz w:val="24"/>
        <w:szCs w:val="24"/>
      </w:rPr>
    </w:pPr>
    <w:r>
      <w:rPr>
        <w:rFonts w:ascii="Times New Roman" w:hAnsi="Times New Roman" w:eastAsia="仿宋_GB2312" w:cs="Times New Roman"/>
        <w:sz w:val="24"/>
        <w:szCs w:val="24"/>
        <w:lang w:val="zh-CN"/>
      </w:rPr>
      <w:t>第</w:t>
    </w:r>
    <w:r>
      <w:rPr>
        <w:rFonts w:hint="eastAsia" w:ascii="Times New Roman" w:hAnsi="Times New Roman" w:eastAsia="仿宋_GB2312" w:cs="Times New Roman"/>
        <w:sz w:val="24"/>
        <w:szCs w:val="24"/>
        <w:lang w:val="zh-CN"/>
      </w:rPr>
      <w:t xml:space="preserve"> </w:t>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PAGE  \* Arabic  \* MERGEFORMAT</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lang w:val="zh-CN"/>
      </w:rPr>
      <w:t>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t xml:space="preserve"> 页</w:t>
    </w:r>
    <w:r>
      <w:rPr>
        <w:rFonts w:ascii="Times New Roman" w:hAnsi="Times New Roman" w:eastAsia="仿宋_GB2312" w:cs="Times New Roman"/>
        <w:sz w:val="24"/>
        <w:szCs w:val="24"/>
        <w:lang w:val="zh-CN"/>
      </w:rPr>
      <w:t xml:space="preserve"> /共</w:t>
    </w:r>
    <w:r>
      <w:rPr>
        <w:rFonts w:hint="eastAsia" w:ascii="Times New Roman" w:hAnsi="Times New Roman" w:eastAsia="仿宋_GB2312" w:cs="Times New Roman"/>
        <w:sz w:val="24"/>
        <w:szCs w:val="24"/>
        <w:lang w:val="zh-CN"/>
      </w:rPr>
      <w:t xml:space="preserve"> </w:t>
    </w:r>
    <w:r>
      <w:rPr>
        <w:rFonts w:ascii="Times New Roman" w:hAnsi="Times New Roman" w:eastAsia="仿宋_GB2312" w:cs="Times New Roman"/>
        <w:sz w:val="24"/>
        <w:szCs w:val="24"/>
        <w:lang w:val="zh-CN"/>
      </w:rPr>
      <w:t>31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252190"/>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w:t>
        </w:r>
        <w:r>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8470100"/>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7287783"/>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20"/>
        <w:rPr>
          <w:rFonts w:ascii="Times New Roman" w:hAnsi="Times New Roman" w:eastAsia="仿宋_GB2312" w:cs="Times New Roman"/>
        </w:rPr>
      </w:pPr>
      <w:r>
        <w:rPr>
          <w:rStyle w:val="33"/>
          <w:rFonts w:ascii="Times New Roman" w:hAnsi="Times New Roman" w:eastAsia="仿宋_GB2312" w:cs="Times New Roman"/>
        </w:rPr>
        <w:footnoteRef/>
      </w:r>
      <w:r>
        <w:rPr>
          <w:rFonts w:ascii="Times New Roman" w:hAnsi="Times New Roman" w:eastAsia="仿宋_GB2312" w:cs="Times New Roman"/>
        </w:rPr>
        <w:t xml:space="preserve"> 数据统计时间为2013-2020年，</w:t>
      </w:r>
      <w:r>
        <w:rPr>
          <w:rFonts w:hint="eastAsia" w:ascii="Times New Roman" w:hAnsi="Times New Roman" w:eastAsia="仿宋_GB2312" w:cs="Times New Roman"/>
        </w:rPr>
        <w:t>即上期规划时间期限。</w:t>
      </w:r>
    </w:p>
  </w:footnote>
  <w:footnote w:id="1">
    <w:p>
      <w:pPr>
        <w:pStyle w:val="20"/>
        <w:rPr>
          <w:rFonts w:ascii="Times New Roman" w:hAnsi="Times New Roman" w:eastAsia="仿宋_GB2312" w:cs="Times New Roman"/>
        </w:rPr>
      </w:pPr>
      <w:r>
        <w:rPr>
          <w:rStyle w:val="33"/>
          <w:rFonts w:ascii="Times New Roman" w:hAnsi="Times New Roman" w:eastAsia="仿宋_GB2312" w:cs="Times New Roman"/>
        </w:rPr>
        <w:footnoteRef/>
      </w:r>
      <w:r>
        <w:rPr>
          <w:rFonts w:ascii="Times New Roman" w:hAnsi="Times New Roman" w:eastAsia="仿宋_GB2312" w:cs="Times New Roman"/>
        </w:rPr>
        <w:t xml:space="preserve"> </w:t>
      </w:r>
      <w:r>
        <w:rPr>
          <w:rFonts w:hint="eastAsia" w:ascii="Times New Roman" w:hAnsi="Times New Roman" w:eastAsia="仿宋_GB2312" w:cs="Times New Roman"/>
        </w:rPr>
        <w:t>国家下发任务0</w:t>
      </w:r>
      <w:r>
        <w:rPr>
          <w:rFonts w:ascii="Times New Roman" w:hAnsi="Times New Roman" w:eastAsia="仿宋_GB2312" w:cs="Times New Roman"/>
        </w:rPr>
        <w:t>.25</w:t>
      </w:r>
      <w:r>
        <w:rPr>
          <w:rFonts w:hint="eastAsia" w:ascii="Times New Roman" w:hAnsi="Times New Roman" w:eastAsia="仿宋_GB2312" w:cs="Times New Roman"/>
        </w:rPr>
        <w:t>万公顷</w:t>
      </w:r>
      <w:r>
        <w:rPr>
          <w:rFonts w:ascii="Times New Roman" w:hAnsi="Times New Roman" w:eastAsia="仿宋_GB2312" w:cs="Times New Roman"/>
        </w:rPr>
        <w:t>，即3.7150万亩</w:t>
      </w:r>
      <w:r>
        <w:rPr>
          <w:rFonts w:hint="eastAsia" w:ascii="Times New Roman" w:hAnsi="Times New Roman" w:eastAsia="仿宋_GB2312" w:cs="Times New Roman"/>
        </w:rPr>
        <w:t>治理任务。</w:t>
      </w:r>
    </w:p>
  </w:footnote>
  <w:footnote w:id="2">
    <w:p>
      <w:pPr>
        <w:pStyle w:val="20"/>
        <w:rPr>
          <w:rFonts w:ascii="Times New Roman" w:hAnsi="Times New Roman" w:eastAsia="仿宋_GB2312" w:cs="Times New Roman"/>
        </w:rPr>
      </w:pPr>
      <w:r>
        <w:rPr>
          <w:rStyle w:val="33"/>
          <w:rFonts w:ascii="Times New Roman" w:hAnsi="Times New Roman" w:eastAsia="仿宋_GB2312" w:cs="Times New Roman"/>
        </w:rPr>
        <w:footnoteRef/>
      </w:r>
      <w:r>
        <w:rPr>
          <w:rFonts w:ascii="Times New Roman" w:hAnsi="Times New Roman" w:eastAsia="仿宋_GB2312" w:cs="Times New Roman"/>
        </w:rPr>
        <w:t xml:space="preserve"> 根据第六次沙化土地监测成果，广东省现有沙化土地均可治理（33944.7362公顷），其中已治理沙化土地面积为24828.2703公顷。</w:t>
      </w:r>
    </w:p>
  </w:footnote>
  <w:footnote w:id="3">
    <w:p>
      <w:pPr>
        <w:autoSpaceDE w:val="0"/>
        <w:autoSpaceDN w:val="0"/>
        <w:adjustRightInd w:val="0"/>
        <w:jc w:val="left"/>
      </w:pPr>
      <w:r>
        <w:rPr>
          <w:rStyle w:val="33"/>
          <w:rFonts w:ascii="Times New Roman" w:hAnsi="Times New Roman" w:eastAsia="仿宋_GB2312" w:cs="Times New Roman"/>
        </w:rPr>
        <w:footnoteRef/>
      </w:r>
      <w:r>
        <w:rPr>
          <w:rFonts w:ascii="Times New Roman" w:hAnsi="Times New Roman" w:eastAsia="仿宋_GB2312" w:cs="Times New Roman"/>
        </w:rPr>
        <w:t xml:space="preserve"> </w:t>
      </w:r>
      <w:r>
        <w:rPr>
          <w:rFonts w:ascii="Times New Roman" w:hAnsi="Times New Roman" w:eastAsia="仿宋_GB2312" w:cs="Times New Roman"/>
          <w:kern w:val="0"/>
          <w:sz w:val="19"/>
          <w:szCs w:val="19"/>
        </w:rPr>
        <w:t>生物沙障既可为植被恢复创造生长条件，本身的萌蘖繁育也是恢复植被。</w:t>
      </w:r>
      <w:r>
        <w:rPr>
          <w:rFonts w:hint="eastAsia" w:ascii="Times New Roman" w:hAnsi="Times New Roman" w:eastAsia="仿宋_GB2312" w:cs="Times New Roman"/>
          <w:kern w:val="0"/>
          <w:sz w:val="19"/>
          <w:szCs w:val="19"/>
        </w:rPr>
        <w:t>具体规范详见G</w:t>
      </w:r>
      <w:r>
        <w:rPr>
          <w:rFonts w:ascii="Times New Roman" w:hAnsi="Times New Roman" w:eastAsia="仿宋_GB2312" w:cs="Times New Roman"/>
          <w:kern w:val="0"/>
          <w:sz w:val="19"/>
          <w:szCs w:val="19"/>
        </w:rPr>
        <w:t>B/T 21141-2007</w:t>
      </w:r>
      <w:r>
        <w:rPr>
          <w:rFonts w:hint="eastAsia" w:ascii="Times New Roman" w:hAnsi="Times New Roman" w:eastAsia="仿宋_GB2312" w:cs="Times New Roman"/>
          <w:kern w:val="0"/>
          <w:sz w:val="19"/>
          <w:szCs w:val="19"/>
        </w:rPr>
        <w:t>《防沙治沙技术规范》。</w:t>
      </w:r>
    </w:p>
  </w:footnote>
  <w:footnote w:id="4">
    <w:p>
      <w:pPr>
        <w:pStyle w:val="20"/>
        <w:rPr>
          <w:rFonts w:ascii="Times New Roman" w:hAnsi="Times New Roman" w:eastAsia="仿宋_GB2312" w:cs="Times New Roman"/>
        </w:rPr>
      </w:pPr>
      <w:r>
        <w:rPr>
          <w:rStyle w:val="33"/>
          <w:rFonts w:ascii="Times New Roman" w:hAnsi="Times New Roman" w:eastAsia="仿宋_GB2312" w:cs="Times New Roman"/>
        </w:rPr>
        <w:footnoteRef/>
      </w:r>
      <w:r>
        <w:rPr>
          <w:rFonts w:ascii="Times New Roman" w:hAnsi="Times New Roman" w:eastAsia="仿宋_GB2312" w:cs="Times New Roman"/>
        </w:rPr>
        <w:t xml:space="preserve"> 根据对沙化耕地的调查，全省沙化耕地沙化程度较轻，灌溉条件和农田林网化程度较高，不</w:t>
      </w:r>
      <w:r>
        <w:rPr>
          <w:rFonts w:hint="eastAsia" w:ascii="Times New Roman" w:hAnsi="Times New Roman" w:eastAsia="仿宋_GB2312" w:cs="Times New Roman"/>
        </w:rPr>
        <w:t>易</w:t>
      </w:r>
      <w:r>
        <w:rPr>
          <w:rFonts w:ascii="Times New Roman" w:hAnsi="Times New Roman" w:eastAsia="仿宋_GB2312" w:cs="Times New Roman"/>
        </w:rPr>
        <w:t>沙化退化</w:t>
      </w:r>
      <w:r>
        <w:rPr>
          <w:rFonts w:hint="eastAsia" w:ascii="Times New Roman" w:hAnsi="Times New Roman" w:eastAsia="仿宋_GB2312"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4A1F79"/>
    <w:multiLevelType w:val="multilevel"/>
    <w:tmpl w:val="014A1F79"/>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A812D53"/>
    <w:multiLevelType w:val="multilevel"/>
    <w:tmpl w:val="0A812D53"/>
    <w:lvl w:ilvl="0" w:tentative="0">
      <w:start w:val="1"/>
      <w:numFmt w:val="decimal"/>
      <w:lvlText w:val="%1."/>
      <w:lvlJc w:val="left"/>
      <w:pPr>
        <w:ind w:left="1020" w:hanging="420"/>
      </w:pPr>
      <w:rPr>
        <w:rFonts w:hint="default"/>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2">
    <w:nsid w:val="0D80101F"/>
    <w:multiLevelType w:val="multilevel"/>
    <w:tmpl w:val="0D80101F"/>
    <w:lvl w:ilvl="0" w:tentative="0">
      <w:start w:val="1"/>
      <w:numFmt w:val="decimal"/>
      <w:suff w:val="nothing"/>
      <w:lvlText w:val="（%1）"/>
      <w:lvlJc w:val="left"/>
      <w:pPr>
        <w:ind w:left="1682" w:hanging="1080"/>
      </w:pPr>
      <w:rPr>
        <w:rFonts w:hint="default" w:ascii="Times New Roman" w:hAnsi="Times New Roman" w:cs="Times New Roman"/>
        <w:b w:val="0"/>
        <w:color w:val="000000" w:themeColor="text1"/>
      </w:rPr>
    </w:lvl>
    <w:lvl w:ilvl="1" w:tentative="0">
      <w:start w:val="1"/>
      <w:numFmt w:val="lowerLetter"/>
      <w:lvlText w:val="%2)"/>
      <w:lvlJc w:val="left"/>
      <w:pPr>
        <w:ind w:left="1482" w:hanging="440"/>
      </w:pPr>
    </w:lvl>
    <w:lvl w:ilvl="2" w:tentative="0">
      <w:start w:val="1"/>
      <w:numFmt w:val="lowerRoman"/>
      <w:lvlText w:val="%3."/>
      <w:lvlJc w:val="right"/>
      <w:pPr>
        <w:ind w:left="1922" w:hanging="440"/>
      </w:pPr>
    </w:lvl>
    <w:lvl w:ilvl="3" w:tentative="0">
      <w:start w:val="1"/>
      <w:numFmt w:val="decimal"/>
      <w:lvlText w:val="%4."/>
      <w:lvlJc w:val="left"/>
      <w:pPr>
        <w:ind w:left="2362" w:hanging="440"/>
      </w:pPr>
    </w:lvl>
    <w:lvl w:ilvl="4" w:tentative="0">
      <w:start w:val="1"/>
      <w:numFmt w:val="lowerLetter"/>
      <w:lvlText w:val="%5)"/>
      <w:lvlJc w:val="left"/>
      <w:pPr>
        <w:ind w:left="2802" w:hanging="440"/>
      </w:pPr>
    </w:lvl>
    <w:lvl w:ilvl="5" w:tentative="0">
      <w:start w:val="1"/>
      <w:numFmt w:val="lowerRoman"/>
      <w:lvlText w:val="%6."/>
      <w:lvlJc w:val="right"/>
      <w:pPr>
        <w:ind w:left="3242" w:hanging="440"/>
      </w:pPr>
    </w:lvl>
    <w:lvl w:ilvl="6" w:tentative="0">
      <w:start w:val="1"/>
      <w:numFmt w:val="decimal"/>
      <w:lvlText w:val="%7."/>
      <w:lvlJc w:val="left"/>
      <w:pPr>
        <w:ind w:left="3682" w:hanging="440"/>
      </w:pPr>
    </w:lvl>
    <w:lvl w:ilvl="7" w:tentative="0">
      <w:start w:val="1"/>
      <w:numFmt w:val="lowerLetter"/>
      <w:lvlText w:val="%8)"/>
      <w:lvlJc w:val="left"/>
      <w:pPr>
        <w:ind w:left="4122" w:hanging="440"/>
      </w:pPr>
    </w:lvl>
    <w:lvl w:ilvl="8" w:tentative="0">
      <w:start w:val="1"/>
      <w:numFmt w:val="lowerRoman"/>
      <w:lvlText w:val="%9."/>
      <w:lvlJc w:val="right"/>
      <w:pPr>
        <w:ind w:left="4562" w:hanging="440"/>
      </w:pPr>
    </w:lvl>
  </w:abstractNum>
  <w:abstractNum w:abstractNumId="3">
    <w:nsid w:val="114B14B6"/>
    <w:multiLevelType w:val="multilevel"/>
    <w:tmpl w:val="114B14B6"/>
    <w:lvl w:ilvl="0" w:tentative="0">
      <w:start w:val="1"/>
      <w:numFmt w:val="chineseCountingThousand"/>
      <w:suff w:val="nothing"/>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494193E"/>
    <w:multiLevelType w:val="multilevel"/>
    <w:tmpl w:val="1494193E"/>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5F513FF"/>
    <w:multiLevelType w:val="multilevel"/>
    <w:tmpl w:val="15F513FF"/>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61D15E1"/>
    <w:multiLevelType w:val="multilevel"/>
    <w:tmpl w:val="161D15E1"/>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4823F3"/>
    <w:multiLevelType w:val="multilevel"/>
    <w:tmpl w:val="194823F3"/>
    <w:lvl w:ilvl="0" w:tentative="0">
      <w:start w:val="1"/>
      <w:numFmt w:val="decimal"/>
      <w:lvlText w:val="%1."/>
      <w:lvlJc w:val="left"/>
      <w:pPr>
        <w:ind w:left="425" w:hanging="425"/>
      </w:pPr>
      <w:rPr>
        <w:rFonts w:hint="eastAsia"/>
      </w:rPr>
    </w:lvl>
    <w:lvl w:ilvl="1" w:tentative="0">
      <w:start w:val="1"/>
      <w:numFmt w:val="decimal"/>
      <w:pStyle w:val="3"/>
      <w:suff w:val="space"/>
      <w:lvlText w:val="%1.%2"/>
      <w:lvlJc w:val="left"/>
      <w:pPr>
        <w:ind w:left="567" w:hanging="567"/>
      </w:pPr>
      <w:rPr>
        <w:rFonts w:hint="eastAsia"/>
        <w:b w:val="0"/>
        <w:bCs w:val="0"/>
        <w:sz w:val="32"/>
        <w:szCs w:val="32"/>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1DE45F10"/>
    <w:multiLevelType w:val="multilevel"/>
    <w:tmpl w:val="1DE45F10"/>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09B1E66"/>
    <w:multiLevelType w:val="multilevel"/>
    <w:tmpl w:val="209B1E66"/>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23A41E4"/>
    <w:multiLevelType w:val="multilevel"/>
    <w:tmpl w:val="223A41E4"/>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8404E0D"/>
    <w:multiLevelType w:val="multilevel"/>
    <w:tmpl w:val="28404E0D"/>
    <w:lvl w:ilvl="0" w:tentative="0">
      <w:start w:val="1"/>
      <w:numFmt w:val="decimal"/>
      <w:lvlText w:val="%1."/>
      <w:lvlJc w:val="left"/>
      <w:pPr>
        <w:ind w:left="1020" w:hanging="420"/>
      </w:pPr>
      <w:rPr>
        <w:rFonts w:hint="default"/>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12">
    <w:nsid w:val="29782D7B"/>
    <w:multiLevelType w:val="multilevel"/>
    <w:tmpl w:val="29782D7B"/>
    <w:lvl w:ilvl="0" w:tentative="0">
      <w:start w:val="1"/>
      <w:numFmt w:val="decimal"/>
      <w:lvlText w:val="%1."/>
      <w:lvlJc w:val="left"/>
      <w:pPr>
        <w:tabs>
          <w:tab w:val="left" w:pos="1134"/>
        </w:tabs>
        <w:ind w:left="1134" w:hanging="534"/>
      </w:pPr>
      <w:rPr>
        <w:rFonts w:hint="default"/>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13">
    <w:nsid w:val="2D2C2C56"/>
    <w:multiLevelType w:val="multilevel"/>
    <w:tmpl w:val="2D2C2C56"/>
    <w:lvl w:ilvl="0" w:tentative="0">
      <w:start w:val="1"/>
      <w:numFmt w:val="decimal"/>
      <w:lvlText w:val="%1."/>
      <w:lvlJc w:val="left"/>
      <w:pPr>
        <w:ind w:left="1020" w:hanging="420"/>
      </w:pPr>
      <w:rPr>
        <w:rFonts w:hint="default"/>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14">
    <w:nsid w:val="34B54316"/>
    <w:multiLevelType w:val="multilevel"/>
    <w:tmpl w:val="34B54316"/>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6D30AA9"/>
    <w:multiLevelType w:val="multilevel"/>
    <w:tmpl w:val="36D30AA9"/>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ACA1BB9"/>
    <w:multiLevelType w:val="multilevel"/>
    <w:tmpl w:val="3ACA1BB9"/>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D3E3404"/>
    <w:multiLevelType w:val="multilevel"/>
    <w:tmpl w:val="3D3E340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pStyle w:val="5"/>
      <w:lvlText w:val="%1.%2.%3"/>
      <w:lvlJc w:val="left"/>
      <w:pPr>
        <w:ind w:left="709" w:hanging="709"/>
      </w:pPr>
      <w:rPr>
        <w:rFonts w:hint="eastAsia"/>
        <w:b w:val="0"/>
        <w:bCs w:val="0"/>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3EAC1428"/>
    <w:multiLevelType w:val="multilevel"/>
    <w:tmpl w:val="3EAC1428"/>
    <w:lvl w:ilvl="0" w:tentative="0">
      <w:start w:val="1"/>
      <w:numFmt w:val="chineseCountingThousand"/>
      <w:suff w:val="nothing"/>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FBF50C1"/>
    <w:multiLevelType w:val="multilevel"/>
    <w:tmpl w:val="3FBF50C1"/>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37E7417"/>
    <w:multiLevelType w:val="multilevel"/>
    <w:tmpl w:val="437E7417"/>
    <w:lvl w:ilvl="0" w:tentative="0">
      <w:start w:val="1"/>
      <w:numFmt w:val="decimal"/>
      <w:suff w:val="nothing"/>
      <w:lvlText w:val="（%1）"/>
      <w:lvlJc w:val="left"/>
      <w:pPr>
        <w:ind w:left="1682" w:hanging="1080"/>
      </w:pPr>
      <w:rPr>
        <w:rFonts w:hint="default" w:ascii="Times New Roman" w:hAnsi="Times New Roman" w:cs="Times New Roman"/>
        <w:b w:val="0"/>
        <w:color w:val="000000" w:themeColor="text1"/>
      </w:rPr>
    </w:lvl>
    <w:lvl w:ilvl="1" w:tentative="0">
      <w:start w:val="1"/>
      <w:numFmt w:val="lowerLetter"/>
      <w:lvlText w:val="%2)"/>
      <w:lvlJc w:val="left"/>
      <w:pPr>
        <w:ind w:left="1482" w:hanging="440"/>
      </w:pPr>
    </w:lvl>
    <w:lvl w:ilvl="2" w:tentative="0">
      <w:start w:val="1"/>
      <w:numFmt w:val="lowerRoman"/>
      <w:lvlText w:val="%3."/>
      <w:lvlJc w:val="right"/>
      <w:pPr>
        <w:ind w:left="1922" w:hanging="440"/>
      </w:pPr>
    </w:lvl>
    <w:lvl w:ilvl="3" w:tentative="0">
      <w:start w:val="1"/>
      <w:numFmt w:val="decimal"/>
      <w:lvlText w:val="%4."/>
      <w:lvlJc w:val="left"/>
      <w:pPr>
        <w:ind w:left="2362" w:hanging="440"/>
      </w:pPr>
    </w:lvl>
    <w:lvl w:ilvl="4" w:tentative="0">
      <w:start w:val="1"/>
      <w:numFmt w:val="lowerLetter"/>
      <w:lvlText w:val="%5)"/>
      <w:lvlJc w:val="left"/>
      <w:pPr>
        <w:ind w:left="2802" w:hanging="440"/>
      </w:pPr>
    </w:lvl>
    <w:lvl w:ilvl="5" w:tentative="0">
      <w:start w:val="1"/>
      <w:numFmt w:val="lowerRoman"/>
      <w:lvlText w:val="%6."/>
      <w:lvlJc w:val="right"/>
      <w:pPr>
        <w:ind w:left="3242" w:hanging="440"/>
      </w:pPr>
    </w:lvl>
    <w:lvl w:ilvl="6" w:tentative="0">
      <w:start w:val="1"/>
      <w:numFmt w:val="decimal"/>
      <w:lvlText w:val="%7."/>
      <w:lvlJc w:val="left"/>
      <w:pPr>
        <w:ind w:left="3682" w:hanging="440"/>
      </w:pPr>
    </w:lvl>
    <w:lvl w:ilvl="7" w:tentative="0">
      <w:start w:val="1"/>
      <w:numFmt w:val="lowerLetter"/>
      <w:lvlText w:val="%8)"/>
      <w:lvlJc w:val="left"/>
      <w:pPr>
        <w:ind w:left="4122" w:hanging="440"/>
      </w:pPr>
    </w:lvl>
    <w:lvl w:ilvl="8" w:tentative="0">
      <w:start w:val="1"/>
      <w:numFmt w:val="lowerRoman"/>
      <w:lvlText w:val="%9."/>
      <w:lvlJc w:val="right"/>
      <w:pPr>
        <w:ind w:left="4562" w:hanging="440"/>
      </w:pPr>
    </w:lvl>
  </w:abstractNum>
  <w:abstractNum w:abstractNumId="21">
    <w:nsid w:val="46D2179D"/>
    <w:multiLevelType w:val="multilevel"/>
    <w:tmpl w:val="46D2179D"/>
    <w:lvl w:ilvl="0" w:tentative="0">
      <w:start w:val="1"/>
      <w:numFmt w:val="chineseCountingThousand"/>
      <w:suff w:val="nothing"/>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7E324CE"/>
    <w:multiLevelType w:val="multilevel"/>
    <w:tmpl w:val="47E324CE"/>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E071C6B"/>
    <w:multiLevelType w:val="multilevel"/>
    <w:tmpl w:val="4E071C6B"/>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0E7023F"/>
    <w:multiLevelType w:val="multilevel"/>
    <w:tmpl w:val="50E7023F"/>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2D92162"/>
    <w:multiLevelType w:val="multilevel"/>
    <w:tmpl w:val="52D92162"/>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420204D"/>
    <w:multiLevelType w:val="multilevel"/>
    <w:tmpl w:val="5420204D"/>
    <w:lvl w:ilvl="0" w:tentative="0">
      <w:start w:val="1"/>
      <w:numFmt w:val="chineseCountingThousand"/>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62F1366"/>
    <w:multiLevelType w:val="multilevel"/>
    <w:tmpl w:val="562F1366"/>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D317173"/>
    <w:multiLevelType w:val="multilevel"/>
    <w:tmpl w:val="5D317173"/>
    <w:lvl w:ilvl="0" w:tentative="0">
      <w:start w:val="1"/>
      <w:numFmt w:val="decimal"/>
      <w:lvlText w:val="%1."/>
      <w:lvlJc w:val="left"/>
      <w:pPr>
        <w:ind w:left="1020" w:hanging="420"/>
      </w:pPr>
      <w:rPr>
        <w:rFonts w:hint="default"/>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29">
    <w:nsid w:val="6946795F"/>
    <w:multiLevelType w:val="multilevel"/>
    <w:tmpl w:val="6946795F"/>
    <w:lvl w:ilvl="0" w:tentative="0">
      <w:start w:val="1"/>
      <w:numFmt w:val="chineseCountingThousand"/>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69F51E32"/>
    <w:multiLevelType w:val="multilevel"/>
    <w:tmpl w:val="69F51E32"/>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B21194A"/>
    <w:multiLevelType w:val="multilevel"/>
    <w:tmpl w:val="6B21194A"/>
    <w:lvl w:ilvl="0" w:tentative="0">
      <w:start w:val="1"/>
      <w:numFmt w:val="chineseCountingThousand"/>
      <w:suff w:val="nothing"/>
      <w:lvlText w:val="%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CC322AD"/>
    <w:multiLevelType w:val="multilevel"/>
    <w:tmpl w:val="7CC322AD"/>
    <w:lvl w:ilvl="0" w:tentative="0">
      <w:start w:val="1"/>
      <w:numFmt w:val="chineseCountingThousand"/>
      <w:suff w:val="nothing"/>
      <w:lvlText w:val="（%1）"/>
      <w:lvlJc w:val="left"/>
      <w:pPr>
        <w:ind w:left="420" w:hanging="420"/>
      </w:pPr>
      <w:rPr>
        <w:rFonts w:hint="eastAsia"/>
        <w:b w:val="0"/>
        <w:bCs w:val="0"/>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7"/>
  </w:num>
  <w:num w:numId="3">
    <w:abstractNumId w:val="12"/>
  </w:num>
  <w:num w:numId="4">
    <w:abstractNumId w:val="28"/>
  </w:num>
  <w:num w:numId="5">
    <w:abstractNumId w:val="1"/>
  </w:num>
  <w:num w:numId="6">
    <w:abstractNumId w:val="26"/>
  </w:num>
  <w:num w:numId="7">
    <w:abstractNumId w:val="31"/>
  </w:num>
  <w:num w:numId="8">
    <w:abstractNumId w:val="15"/>
  </w:num>
  <w:num w:numId="9">
    <w:abstractNumId w:val="11"/>
  </w:num>
  <w:num w:numId="10">
    <w:abstractNumId w:val="9"/>
  </w:num>
  <w:num w:numId="11">
    <w:abstractNumId w:val="10"/>
  </w:num>
  <w:num w:numId="12">
    <w:abstractNumId w:val="19"/>
  </w:num>
  <w:num w:numId="13">
    <w:abstractNumId w:val="22"/>
  </w:num>
  <w:num w:numId="14">
    <w:abstractNumId w:val="14"/>
  </w:num>
  <w:num w:numId="15">
    <w:abstractNumId w:val="6"/>
  </w:num>
  <w:num w:numId="16">
    <w:abstractNumId w:val="25"/>
  </w:num>
  <w:num w:numId="17">
    <w:abstractNumId w:val="30"/>
  </w:num>
  <w:num w:numId="18">
    <w:abstractNumId w:val="16"/>
  </w:num>
  <w:num w:numId="19">
    <w:abstractNumId w:val="8"/>
  </w:num>
  <w:num w:numId="20">
    <w:abstractNumId w:val="32"/>
  </w:num>
  <w:num w:numId="21">
    <w:abstractNumId w:val="3"/>
  </w:num>
  <w:num w:numId="22">
    <w:abstractNumId w:val="5"/>
  </w:num>
  <w:num w:numId="23">
    <w:abstractNumId w:val="27"/>
  </w:num>
  <w:num w:numId="24">
    <w:abstractNumId w:val="21"/>
  </w:num>
  <w:num w:numId="25">
    <w:abstractNumId w:val="4"/>
  </w:num>
  <w:num w:numId="26">
    <w:abstractNumId w:val="24"/>
  </w:num>
  <w:num w:numId="27">
    <w:abstractNumId w:val="18"/>
  </w:num>
  <w:num w:numId="28">
    <w:abstractNumId w:val="0"/>
  </w:num>
  <w:num w:numId="29">
    <w:abstractNumId w:val="23"/>
  </w:num>
  <w:num w:numId="30">
    <w:abstractNumId w:val="29"/>
  </w:num>
  <w:num w:numId="31">
    <w:abstractNumId w:val="2"/>
  </w:num>
  <w:num w:numId="32">
    <w:abstractNumId w:val="2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10"/>
    <w:footnote w:id="1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ZmZDJjNjBkMGYwMTUzN2E3OTA0OTc1ZDZiODFiNTkifQ=="/>
  </w:docVars>
  <w:rsids>
    <w:rsidRoot w:val="00D10285"/>
    <w:rsid w:val="0000062C"/>
    <w:rsid w:val="00002978"/>
    <w:rsid w:val="00002A00"/>
    <w:rsid w:val="0000386A"/>
    <w:rsid w:val="000043C6"/>
    <w:rsid w:val="000048D5"/>
    <w:rsid w:val="00005B2C"/>
    <w:rsid w:val="00006194"/>
    <w:rsid w:val="000063EB"/>
    <w:rsid w:val="000068DA"/>
    <w:rsid w:val="0000727F"/>
    <w:rsid w:val="00007A52"/>
    <w:rsid w:val="0001075F"/>
    <w:rsid w:val="000107BA"/>
    <w:rsid w:val="000107E1"/>
    <w:rsid w:val="00013356"/>
    <w:rsid w:val="00015697"/>
    <w:rsid w:val="00017001"/>
    <w:rsid w:val="0001707D"/>
    <w:rsid w:val="0001787F"/>
    <w:rsid w:val="00017E37"/>
    <w:rsid w:val="00020C3D"/>
    <w:rsid w:val="0002233F"/>
    <w:rsid w:val="000224F3"/>
    <w:rsid w:val="000230B0"/>
    <w:rsid w:val="00023A50"/>
    <w:rsid w:val="00024916"/>
    <w:rsid w:val="00025318"/>
    <w:rsid w:val="00027EFC"/>
    <w:rsid w:val="00030A6A"/>
    <w:rsid w:val="000318CF"/>
    <w:rsid w:val="0003375F"/>
    <w:rsid w:val="00033D47"/>
    <w:rsid w:val="0003445D"/>
    <w:rsid w:val="00034C27"/>
    <w:rsid w:val="0003578F"/>
    <w:rsid w:val="00036C99"/>
    <w:rsid w:val="00037005"/>
    <w:rsid w:val="00040131"/>
    <w:rsid w:val="0004219D"/>
    <w:rsid w:val="0004337A"/>
    <w:rsid w:val="000435B3"/>
    <w:rsid w:val="000435CB"/>
    <w:rsid w:val="000435D9"/>
    <w:rsid w:val="000443CA"/>
    <w:rsid w:val="00045228"/>
    <w:rsid w:val="000453FB"/>
    <w:rsid w:val="00045926"/>
    <w:rsid w:val="00045C5D"/>
    <w:rsid w:val="00045D6D"/>
    <w:rsid w:val="00046935"/>
    <w:rsid w:val="00046CB1"/>
    <w:rsid w:val="00047064"/>
    <w:rsid w:val="00050605"/>
    <w:rsid w:val="00050B3D"/>
    <w:rsid w:val="00052420"/>
    <w:rsid w:val="00052F52"/>
    <w:rsid w:val="00054F7A"/>
    <w:rsid w:val="00055AF9"/>
    <w:rsid w:val="0005668E"/>
    <w:rsid w:val="000612BA"/>
    <w:rsid w:val="0006159B"/>
    <w:rsid w:val="0006189A"/>
    <w:rsid w:val="00061AB7"/>
    <w:rsid w:val="00061B97"/>
    <w:rsid w:val="00061CAC"/>
    <w:rsid w:val="00061E64"/>
    <w:rsid w:val="00063C10"/>
    <w:rsid w:val="000640D0"/>
    <w:rsid w:val="00064F82"/>
    <w:rsid w:val="00065ACC"/>
    <w:rsid w:val="00066CE3"/>
    <w:rsid w:val="00066E70"/>
    <w:rsid w:val="00066FF2"/>
    <w:rsid w:val="00067964"/>
    <w:rsid w:val="00067A48"/>
    <w:rsid w:val="00067F55"/>
    <w:rsid w:val="000702C9"/>
    <w:rsid w:val="000704A0"/>
    <w:rsid w:val="00071243"/>
    <w:rsid w:val="00071308"/>
    <w:rsid w:val="00071969"/>
    <w:rsid w:val="00071B85"/>
    <w:rsid w:val="0007240D"/>
    <w:rsid w:val="000725BD"/>
    <w:rsid w:val="0007338F"/>
    <w:rsid w:val="0007369D"/>
    <w:rsid w:val="00073BF7"/>
    <w:rsid w:val="00075361"/>
    <w:rsid w:val="00075E33"/>
    <w:rsid w:val="00075F19"/>
    <w:rsid w:val="00076016"/>
    <w:rsid w:val="00076130"/>
    <w:rsid w:val="00076CE3"/>
    <w:rsid w:val="00077C5F"/>
    <w:rsid w:val="000803D5"/>
    <w:rsid w:val="000804AF"/>
    <w:rsid w:val="00080D62"/>
    <w:rsid w:val="00080DE1"/>
    <w:rsid w:val="0008230B"/>
    <w:rsid w:val="000824D7"/>
    <w:rsid w:val="00082738"/>
    <w:rsid w:val="00082D23"/>
    <w:rsid w:val="00083174"/>
    <w:rsid w:val="000840C9"/>
    <w:rsid w:val="000851AD"/>
    <w:rsid w:val="00087EB1"/>
    <w:rsid w:val="00090484"/>
    <w:rsid w:val="00091ED7"/>
    <w:rsid w:val="00092253"/>
    <w:rsid w:val="000926D9"/>
    <w:rsid w:val="000928A0"/>
    <w:rsid w:val="000938DA"/>
    <w:rsid w:val="00095014"/>
    <w:rsid w:val="000956A6"/>
    <w:rsid w:val="00095D67"/>
    <w:rsid w:val="000965FB"/>
    <w:rsid w:val="000966B9"/>
    <w:rsid w:val="00096A15"/>
    <w:rsid w:val="000977C7"/>
    <w:rsid w:val="00097D3F"/>
    <w:rsid w:val="00097EF0"/>
    <w:rsid w:val="000A0374"/>
    <w:rsid w:val="000A11F2"/>
    <w:rsid w:val="000A3228"/>
    <w:rsid w:val="000A44AD"/>
    <w:rsid w:val="000A46BD"/>
    <w:rsid w:val="000A4738"/>
    <w:rsid w:val="000A6740"/>
    <w:rsid w:val="000B040A"/>
    <w:rsid w:val="000B12D5"/>
    <w:rsid w:val="000B1C4B"/>
    <w:rsid w:val="000B211F"/>
    <w:rsid w:val="000B245C"/>
    <w:rsid w:val="000B3017"/>
    <w:rsid w:val="000B3940"/>
    <w:rsid w:val="000B4285"/>
    <w:rsid w:val="000B4522"/>
    <w:rsid w:val="000B4FFF"/>
    <w:rsid w:val="000B5DC2"/>
    <w:rsid w:val="000B65AA"/>
    <w:rsid w:val="000B6676"/>
    <w:rsid w:val="000B671C"/>
    <w:rsid w:val="000B76B2"/>
    <w:rsid w:val="000B7A2D"/>
    <w:rsid w:val="000B7D89"/>
    <w:rsid w:val="000C01CD"/>
    <w:rsid w:val="000C0414"/>
    <w:rsid w:val="000C31C0"/>
    <w:rsid w:val="000C32BA"/>
    <w:rsid w:val="000C3AFD"/>
    <w:rsid w:val="000C3C8D"/>
    <w:rsid w:val="000C4445"/>
    <w:rsid w:val="000C44FF"/>
    <w:rsid w:val="000C4551"/>
    <w:rsid w:val="000C7148"/>
    <w:rsid w:val="000C7840"/>
    <w:rsid w:val="000C7CE9"/>
    <w:rsid w:val="000D0D4E"/>
    <w:rsid w:val="000D5C86"/>
    <w:rsid w:val="000D7EA6"/>
    <w:rsid w:val="000E0101"/>
    <w:rsid w:val="000E0750"/>
    <w:rsid w:val="000E1238"/>
    <w:rsid w:val="000E237B"/>
    <w:rsid w:val="000E2A5D"/>
    <w:rsid w:val="000E31E4"/>
    <w:rsid w:val="000E3893"/>
    <w:rsid w:val="000E3EC1"/>
    <w:rsid w:val="000E4777"/>
    <w:rsid w:val="000E62F0"/>
    <w:rsid w:val="000E69AF"/>
    <w:rsid w:val="000E6E34"/>
    <w:rsid w:val="000E7ED7"/>
    <w:rsid w:val="000F1133"/>
    <w:rsid w:val="000F2AF1"/>
    <w:rsid w:val="000F2C89"/>
    <w:rsid w:val="000F3336"/>
    <w:rsid w:val="000F36C5"/>
    <w:rsid w:val="000F42B8"/>
    <w:rsid w:val="000F4D83"/>
    <w:rsid w:val="000F5203"/>
    <w:rsid w:val="000F56F6"/>
    <w:rsid w:val="000F5FDB"/>
    <w:rsid w:val="000F7ED2"/>
    <w:rsid w:val="0010003D"/>
    <w:rsid w:val="00100ED4"/>
    <w:rsid w:val="001012BD"/>
    <w:rsid w:val="001017A3"/>
    <w:rsid w:val="00102E66"/>
    <w:rsid w:val="001041A0"/>
    <w:rsid w:val="001041D3"/>
    <w:rsid w:val="00104DA4"/>
    <w:rsid w:val="00105E4C"/>
    <w:rsid w:val="00106911"/>
    <w:rsid w:val="00106BE6"/>
    <w:rsid w:val="00106DF8"/>
    <w:rsid w:val="00110624"/>
    <w:rsid w:val="001114EE"/>
    <w:rsid w:val="001116B5"/>
    <w:rsid w:val="00111C9A"/>
    <w:rsid w:val="001123B9"/>
    <w:rsid w:val="001125F7"/>
    <w:rsid w:val="0011282D"/>
    <w:rsid w:val="0011341A"/>
    <w:rsid w:val="001134DC"/>
    <w:rsid w:val="001137AE"/>
    <w:rsid w:val="00113B25"/>
    <w:rsid w:val="00114ABC"/>
    <w:rsid w:val="00114E8C"/>
    <w:rsid w:val="001158D7"/>
    <w:rsid w:val="001167BE"/>
    <w:rsid w:val="00117A73"/>
    <w:rsid w:val="001200A0"/>
    <w:rsid w:val="00120C09"/>
    <w:rsid w:val="00121760"/>
    <w:rsid w:val="00121BB6"/>
    <w:rsid w:val="00122348"/>
    <w:rsid w:val="001231AB"/>
    <w:rsid w:val="001245A5"/>
    <w:rsid w:val="00124B3E"/>
    <w:rsid w:val="0012535B"/>
    <w:rsid w:val="00125D01"/>
    <w:rsid w:val="0012737C"/>
    <w:rsid w:val="00127422"/>
    <w:rsid w:val="0013138F"/>
    <w:rsid w:val="0013156C"/>
    <w:rsid w:val="001316D6"/>
    <w:rsid w:val="00131FE5"/>
    <w:rsid w:val="00132092"/>
    <w:rsid w:val="00132DB2"/>
    <w:rsid w:val="00135CAE"/>
    <w:rsid w:val="00136039"/>
    <w:rsid w:val="0013612F"/>
    <w:rsid w:val="00136465"/>
    <w:rsid w:val="001364AC"/>
    <w:rsid w:val="00136C8A"/>
    <w:rsid w:val="001372A0"/>
    <w:rsid w:val="00140478"/>
    <w:rsid w:val="001414B8"/>
    <w:rsid w:val="00141D2D"/>
    <w:rsid w:val="00142648"/>
    <w:rsid w:val="001426BF"/>
    <w:rsid w:val="00142820"/>
    <w:rsid w:val="00142F5E"/>
    <w:rsid w:val="001438BF"/>
    <w:rsid w:val="00144F74"/>
    <w:rsid w:val="00145C8F"/>
    <w:rsid w:val="001475F9"/>
    <w:rsid w:val="001477D7"/>
    <w:rsid w:val="0015028E"/>
    <w:rsid w:val="0015083D"/>
    <w:rsid w:val="0015154C"/>
    <w:rsid w:val="0015215F"/>
    <w:rsid w:val="0015222A"/>
    <w:rsid w:val="00152B9C"/>
    <w:rsid w:val="001547B1"/>
    <w:rsid w:val="0015562F"/>
    <w:rsid w:val="00155809"/>
    <w:rsid w:val="00155862"/>
    <w:rsid w:val="00155B9B"/>
    <w:rsid w:val="001567AD"/>
    <w:rsid w:val="00156BAF"/>
    <w:rsid w:val="00157665"/>
    <w:rsid w:val="00160540"/>
    <w:rsid w:val="00160612"/>
    <w:rsid w:val="0016101E"/>
    <w:rsid w:val="00161080"/>
    <w:rsid w:val="001620F6"/>
    <w:rsid w:val="001623B0"/>
    <w:rsid w:val="0016304E"/>
    <w:rsid w:val="001635F7"/>
    <w:rsid w:val="0016372F"/>
    <w:rsid w:val="00163C7D"/>
    <w:rsid w:val="00163C95"/>
    <w:rsid w:val="00164D12"/>
    <w:rsid w:val="00165DED"/>
    <w:rsid w:val="0016691F"/>
    <w:rsid w:val="0016765F"/>
    <w:rsid w:val="00171594"/>
    <w:rsid w:val="001716C3"/>
    <w:rsid w:val="0017250E"/>
    <w:rsid w:val="00173ADC"/>
    <w:rsid w:val="00175681"/>
    <w:rsid w:val="00177171"/>
    <w:rsid w:val="001817DE"/>
    <w:rsid w:val="00181EB2"/>
    <w:rsid w:val="00182119"/>
    <w:rsid w:val="00182410"/>
    <w:rsid w:val="00183E07"/>
    <w:rsid w:val="00184077"/>
    <w:rsid w:val="00185184"/>
    <w:rsid w:val="00186231"/>
    <w:rsid w:val="0018661E"/>
    <w:rsid w:val="001879B1"/>
    <w:rsid w:val="00191110"/>
    <w:rsid w:val="0019160E"/>
    <w:rsid w:val="001920FE"/>
    <w:rsid w:val="00192A73"/>
    <w:rsid w:val="001930C7"/>
    <w:rsid w:val="0019436B"/>
    <w:rsid w:val="00194968"/>
    <w:rsid w:val="00194F9C"/>
    <w:rsid w:val="00196248"/>
    <w:rsid w:val="0019669B"/>
    <w:rsid w:val="00197CDE"/>
    <w:rsid w:val="001A004D"/>
    <w:rsid w:val="001A00C5"/>
    <w:rsid w:val="001A10A2"/>
    <w:rsid w:val="001A171C"/>
    <w:rsid w:val="001A3DDB"/>
    <w:rsid w:val="001A44CF"/>
    <w:rsid w:val="001A59B8"/>
    <w:rsid w:val="001A67BE"/>
    <w:rsid w:val="001A73FB"/>
    <w:rsid w:val="001A7819"/>
    <w:rsid w:val="001B20CE"/>
    <w:rsid w:val="001B33A6"/>
    <w:rsid w:val="001B40E9"/>
    <w:rsid w:val="001B51EF"/>
    <w:rsid w:val="001B5AEE"/>
    <w:rsid w:val="001B70D8"/>
    <w:rsid w:val="001C0EE9"/>
    <w:rsid w:val="001C1152"/>
    <w:rsid w:val="001C36D2"/>
    <w:rsid w:val="001C3FDA"/>
    <w:rsid w:val="001C47CA"/>
    <w:rsid w:val="001C586D"/>
    <w:rsid w:val="001C5935"/>
    <w:rsid w:val="001C62D0"/>
    <w:rsid w:val="001C64F1"/>
    <w:rsid w:val="001C6691"/>
    <w:rsid w:val="001C7FAD"/>
    <w:rsid w:val="001D190F"/>
    <w:rsid w:val="001D2197"/>
    <w:rsid w:val="001D2C30"/>
    <w:rsid w:val="001D5507"/>
    <w:rsid w:val="001D5D59"/>
    <w:rsid w:val="001D5EB0"/>
    <w:rsid w:val="001D613A"/>
    <w:rsid w:val="001D6704"/>
    <w:rsid w:val="001D6AE2"/>
    <w:rsid w:val="001D7619"/>
    <w:rsid w:val="001D7D4C"/>
    <w:rsid w:val="001E093B"/>
    <w:rsid w:val="001E0990"/>
    <w:rsid w:val="001E25AF"/>
    <w:rsid w:val="001E2A5D"/>
    <w:rsid w:val="001E2B23"/>
    <w:rsid w:val="001E2EC5"/>
    <w:rsid w:val="001E3715"/>
    <w:rsid w:val="001E3D39"/>
    <w:rsid w:val="001E54DA"/>
    <w:rsid w:val="001E594D"/>
    <w:rsid w:val="001E637D"/>
    <w:rsid w:val="001E63C1"/>
    <w:rsid w:val="001E76E9"/>
    <w:rsid w:val="001F26A6"/>
    <w:rsid w:val="001F29E0"/>
    <w:rsid w:val="001F3027"/>
    <w:rsid w:val="001F41D7"/>
    <w:rsid w:val="001F4383"/>
    <w:rsid w:val="001F4897"/>
    <w:rsid w:val="001F4AAC"/>
    <w:rsid w:val="001F5388"/>
    <w:rsid w:val="001F542B"/>
    <w:rsid w:val="001F59B3"/>
    <w:rsid w:val="001F7639"/>
    <w:rsid w:val="001F7E3E"/>
    <w:rsid w:val="002006BD"/>
    <w:rsid w:val="002007C5"/>
    <w:rsid w:val="002010ED"/>
    <w:rsid w:val="00201118"/>
    <w:rsid w:val="002013C0"/>
    <w:rsid w:val="0020165E"/>
    <w:rsid w:val="00201876"/>
    <w:rsid w:val="00201B7B"/>
    <w:rsid w:val="0020248E"/>
    <w:rsid w:val="00202BD9"/>
    <w:rsid w:val="002031C8"/>
    <w:rsid w:val="0020332C"/>
    <w:rsid w:val="00203907"/>
    <w:rsid w:val="002040F8"/>
    <w:rsid w:val="002048FF"/>
    <w:rsid w:val="00204C59"/>
    <w:rsid w:val="002054AF"/>
    <w:rsid w:val="002064C1"/>
    <w:rsid w:val="00206AE2"/>
    <w:rsid w:val="002079FC"/>
    <w:rsid w:val="00207A7B"/>
    <w:rsid w:val="002101BD"/>
    <w:rsid w:val="0021050A"/>
    <w:rsid w:val="00210D41"/>
    <w:rsid w:val="00210D44"/>
    <w:rsid w:val="00210E90"/>
    <w:rsid w:val="00210FCE"/>
    <w:rsid w:val="002113C2"/>
    <w:rsid w:val="00214787"/>
    <w:rsid w:val="00215666"/>
    <w:rsid w:val="00215B8B"/>
    <w:rsid w:val="0021753F"/>
    <w:rsid w:val="002178D8"/>
    <w:rsid w:val="00217D8C"/>
    <w:rsid w:val="0022004E"/>
    <w:rsid w:val="002208D5"/>
    <w:rsid w:val="00221998"/>
    <w:rsid w:val="00221C6A"/>
    <w:rsid w:val="00223113"/>
    <w:rsid w:val="002241CA"/>
    <w:rsid w:val="00224348"/>
    <w:rsid w:val="002249C0"/>
    <w:rsid w:val="00224F31"/>
    <w:rsid w:val="00225AFF"/>
    <w:rsid w:val="002263FA"/>
    <w:rsid w:val="002268EB"/>
    <w:rsid w:val="00227B3B"/>
    <w:rsid w:val="00231B41"/>
    <w:rsid w:val="00233E74"/>
    <w:rsid w:val="00234183"/>
    <w:rsid w:val="00234370"/>
    <w:rsid w:val="00236FAF"/>
    <w:rsid w:val="00237622"/>
    <w:rsid w:val="00237AEB"/>
    <w:rsid w:val="00237F70"/>
    <w:rsid w:val="002406DE"/>
    <w:rsid w:val="0024073B"/>
    <w:rsid w:val="002414AC"/>
    <w:rsid w:val="00242767"/>
    <w:rsid w:val="00242EE2"/>
    <w:rsid w:val="002431CE"/>
    <w:rsid w:val="00246B17"/>
    <w:rsid w:val="00246E09"/>
    <w:rsid w:val="00247648"/>
    <w:rsid w:val="00250C39"/>
    <w:rsid w:val="00250CC6"/>
    <w:rsid w:val="00251C2E"/>
    <w:rsid w:val="00251F2E"/>
    <w:rsid w:val="00252328"/>
    <w:rsid w:val="0025257F"/>
    <w:rsid w:val="002528AC"/>
    <w:rsid w:val="002537C9"/>
    <w:rsid w:val="00253B38"/>
    <w:rsid w:val="00255ACF"/>
    <w:rsid w:val="00255BAC"/>
    <w:rsid w:val="00256B99"/>
    <w:rsid w:val="00257CEA"/>
    <w:rsid w:val="00260901"/>
    <w:rsid w:val="00260C59"/>
    <w:rsid w:val="00262F84"/>
    <w:rsid w:val="002637AB"/>
    <w:rsid w:val="00264428"/>
    <w:rsid w:val="00264BAF"/>
    <w:rsid w:val="00264DEA"/>
    <w:rsid w:val="00265059"/>
    <w:rsid w:val="00265D2C"/>
    <w:rsid w:val="002662E6"/>
    <w:rsid w:val="00266E24"/>
    <w:rsid w:val="00266F1C"/>
    <w:rsid w:val="00267254"/>
    <w:rsid w:val="00267A14"/>
    <w:rsid w:val="00267E4E"/>
    <w:rsid w:val="00270ED3"/>
    <w:rsid w:val="002717EC"/>
    <w:rsid w:val="00272DF3"/>
    <w:rsid w:val="002733F1"/>
    <w:rsid w:val="00273B3B"/>
    <w:rsid w:val="00274162"/>
    <w:rsid w:val="002748F5"/>
    <w:rsid w:val="00274ACE"/>
    <w:rsid w:val="00274BD3"/>
    <w:rsid w:val="0027533E"/>
    <w:rsid w:val="00275CEA"/>
    <w:rsid w:val="00277721"/>
    <w:rsid w:val="002777F0"/>
    <w:rsid w:val="00277B72"/>
    <w:rsid w:val="002805BB"/>
    <w:rsid w:val="00280D3D"/>
    <w:rsid w:val="0028169F"/>
    <w:rsid w:val="00281CD6"/>
    <w:rsid w:val="00282147"/>
    <w:rsid w:val="002841DC"/>
    <w:rsid w:val="00284A94"/>
    <w:rsid w:val="00284BA6"/>
    <w:rsid w:val="00284CA7"/>
    <w:rsid w:val="00285870"/>
    <w:rsid w:val="0028645D"/>
    <w:rsid w:val="00286BD2"/>
    <w:rsid w:val="0028771F"/>
    <w:rsid w:val="002902DB"/>
    <w:rsid w:val="00290F60"/>
    <w:rsid w:val="00290FE2"/>
    <w:rsid w:val="00291C74"/>
    <w:rsid w:val="00292D63"/>
    <w:rsid w:val="00293A5A"/>
    <w:rsid w:val="00294892"/>
    <w:rsid w:val="00295222"/>
    <w:rsid w:val="0029539A"/>
    <w:rsid w:val="00296EDB"/>
    <w:rsid w:val="002971D7"/>
    <w:rsid w:val="00297739"/>
    <w:rsid w:val="00297A6A"/>
    <w:rsid w:val="002A08D9"/>
    <w:rsid w:val="002A0D06"/>
    <w:rsid w:val="002A1B03"/>
    <w:rsid w:val="002A3599"/>
    <w:rsid w:val="002A3817"/>
    <w:rsid w:val="002A4C9D"/>
    <w:rsid w:val="002A6927"/>
    <w:rsid w:val="002A7133"/>
    <w:rsid w:val="002A7B41"/>
    <w:rsid w:val="002A7C0C"/>
    <w:rsid w:val="002B0346"/>
    <w:rsid w:val="002B045B"/>
    <w:rsid w:val="002B077F"/>
    <w:rsid w:val="002B0B18"/>
    <w:rsid w:val="002B10D0"/>
    <w:rsid w:val="002B1A1E"/>
    <w:rsid w:val="002B2726"/>
    <w:rsid w:val="002B2FA5"/>
    <w:rsid w:val="002B2FAF"/>
    <w:rsid w:val="002B52D1"/>
    <w:rsid w:val="002B5926"/>
    <w:rsid w:val="002B5B1A"/>
    <w:rsid w:val="002B66CE"/>
    <w:rsid w:val="002B71DD"/>
    <w:rsid w:val="002C0563"/>
    <w:rsid w:val="002C103F"/>
    <w:rsid w:val="002C2DFA"/>
    <w:rsid w:val="002C2EC2"/>
    <w:rsid w:val="002C42A0"/>
    <w:rsid w:val="002C4CB1"/>
    <w:rsid w:val="002C5313"/>
    <w:rsid w:val="002C5399"/>
    <w:rsid w:val="002C56ED"/>
    <w:rsid w:val="002C5D20"/>
    <w:rsid w:val="002C63C2"/>
    <w:rsid w:val="002C6B3C"/>
    <w:rsid w:val="002C7435"/>
    <w:rsid w:val="002C760E"/>
    <w:rsid w:val="002D0231"/>
    <w:rsid w:val="002D05AC"/>
    <w:rsid w:val="002D1008"/>
    <w:rsid w:val="002D34AF"/>
    <w:rsid w:val="002D3736"/>
    <w:rsid w:val="002D39C2"/>
    <w:rsid w:val="002D41BF"/>
    <w:rsid w:val="002D53E7"/>
    <w:rsid w:val="002D65CB"/>
    <w:rsid w:val="002D6F05"/>
    <w:rsid w:val="002E0491"/>
    <w:rsid w:val="002E28E3"/>
    <w:rsid w:val="002E30BB"/>
    <w:rsid w:val="002E382A"/>
    <w:rsid w:val="002E3933"/>
    <w:rsid w:val="002E6A26"/>
    <w:rsid w:val="002E6AD7"/>
    <w:rsid w:val="002E7545"/>
    <w:rsid w:val="002E7934"/>
    <w:rsid w:val="002E79A1"/>
    <w:rsid w:val="002F0412"/>
    <w:rsid w:val="002F0FE0"/>
    <w:rsid w:val="002F1EE6"/>
    <w:rsid w:val="002F242A"/>
    <w:rsid w:val="002F2EA9"/>
    <w:rsid w:val="002F3131"/>
    <w:rsid w:val="002F3CF6"/>
    <w:rsid w:val="002F3D1A"/>
    <w:rsid w:val="002F3D54"/>
    <w:rsid w:val="002F5D2D"/>
    <w:rsid w:val="002F5D65"/>
    <w:rsid w:val="002F6DB4"/>
    <w:rsid w:val="002F78EA"/>
    <w:rsid w:val="002F7CF1"/>
    <w:rsid w:val="00300B94"/>
    <w:rsid w:val="00301AD5"/>
    <w:rsid w:val="0030349E"/>
    <w:rsid w:val="00303904"/>
    <w:rsid w:val="00303C36"/>
    <w:rsid w:val="00304389"/>
    <w:rsid w:val="00304437"/>
    <w:rsid w:val="003068BE"/>
    <w:rsid w:val="00306C20"/>
    <w:rsid w:val="00307032"/>
    <w:rsid w:val="003103DD"/>
    <w:rsid w:val="0031088E"/>
    <w:rsid w:val="00310F6F"/>
    <w:rsid w:val="00312500"/>
    <w:rsid w:val="003132DF"/>
    <w:rsid w:val="00314728"/>
    <w:rsid w:val="00314B3C"/>
    <w:rsid w:val="00315517"/>
    <w:rsid w:val="00317478"/>
    <w:rsid w:val="003175A4"/>
    <w:rsid w:val="00317A04"/>
    <w:rsid w:val="00320FA4"/>
    <w:rsid w:val="00321446"/>
    <w:rsid w:val="0032149B"/>
    <w:rsid w:val="00321AC9"/>
    <w:rsid w:val="003222BD"/>
    <w:rsid w:val="003226CA"/>
    <w:rsid w:val="0032334D"/>
    <w:rsid w:val="00325CD9"/>
    <w:rsid w:val="003277DE"/>
    <w:rsid w:val="00327850"/>
    <w:rsid w:val="00330C4C"/>
    <w:rsid w:val="00331A3D"/>
    <w:rsid w:val="00331A8E"/>
    <w:rsid w:val="00331F22"/>
    <w:rsid w:val="00332111"/>
    <w:rsid w:val="003352D2"/>
    <w:rsid w:val="0033677A"/>
    <w:rsid w:val="00336AF6"/>
    <w:rsid w:val="00341232"/>
    <w:rsid w:val="0034147C"/>
    <w:rsid w:val="00342778"/>
    <w:rsid w:val="00343098"/>
    <w:rsid w:val="00345B0B"/>
    <w:rsid w:val="00346686"/>
    <w:rsid w:val="00347620"/>
    <w:rsid w:val="00350823"/>
    <w:rsid w:val="003524F3"/>
    <w:rsid w:val="00353373"/>
    <w:rsid w:val="003535F9"/>
    <w:rsid w:val="00353E17"/>
    <w:rsid w:val="00354CF2"/>
    <w:rsid w:val="003563F4"/>
    <w:rsid w:val="003568AC"/>
    <w:rsid w:val="00356C09"/>
    <w:rsid w:val="00357619"/>
    <w:rsid w:val="0035764A"/>
    <w:rsid w:val="003576F4"/>
    <w:rsid w:val="00357A48"/>
    <w:rsid w:val="00357D19"/>
    <w:rsid w:val="00357F5C"/>
    <w:rsid w:val="00360253"/>
    <w:rsid w:val="00360B81"/>
    <w:rsid w:val="00361EDE"/>
    <w:rsid w:val="003625FF"/>
    <w:rsid w:val="003626E6"/>
    <w:rsid w:val="0036276C"/>
    <w:rsid w:val="00362780"/>
    <w:rsid w:val="00362DDD"/>
    <w:rsid w:val="00362EFA"/>
    <w:rsid w:val="00363078"/>
    <w:rsid w:val="003645B9"/>
    <w:rsid w:val="00364988"/>
    <w:rsid w:val="00365DA1"/>
    <w:rsid w:val="00366810"/>
    <w:rsid w:val="00367A4C"/>
    <w:rsid w:val="0037047A"/>
    <w:rsid w:val="00370614"/>
    <w:rsid w:val="0037065C"/>
    <w:rsid w:val="003710B3"/>
    <w:rsid w:val="00371298"/>
    <w:rsid w:val="003742E9"/>
    <w:rsid w:val="00374760"/>
    <w:rsid w:val="0037659E"/>
    <w:rsid w:val="0037677E"/>
    <w:rsid w:val="00376B91"/>
    <w:rsid w:val="003773F5"/>
    <w:rsid w:val="00380B9F"/>
    <w:rsid w:val="00381367"/>
    <w:rsid w:val="0038157F"/>
    <w:rsid w:val="00381FB6"/>
    <w:rsid w:val="0038203D"/>
    <w:rsid w:val="003820D2"/>
    <w:rsid w:val="00383A0C"/>
    <w:rsid w:val="00383B3E"/>
    <w:rsid w:val="00383B5E"/>
    <w:rsid w:val="003848DD"/>
    <w:rsid w:val="003865EE"/>
    <w:rsid w:val="003870EC"/>
    <w:rsid w:val="003875E6"/>
    <w:rsid w:val="00387C33"/>
    <w:rsid w:val="00391A66"/>
    <w:rsid w:val="003923BF"/>
    <w:rsid w:val="00395CD4"/>
    <w:rsid w:val="0039619A"/>
    <w:rsid w:val="00396C14"/>
    <w:rsid w:val="00396C4D"/>
    <w:rsid w:val="003A0310"/>
    <w:rsid w:val="003A0617"/>
    <w:rsid w:val="003A1BC8"/>
    <w:rsid w:val="003A3DF2"/>
    <w:rsid w:val="003A4707"/>
    <w:rsid w:val="003A4EAA"/>
    <w:rsid w:val="003A4EEB"/>
    <w:rsid w:val="003A52E6"/>
    <w:rsid w:val="003A6CB7"/>
    <w:rsid w:val="003A7144"/>
    <w:rsid w:val="003A75A0"/>
    <w:rsid w:val="003B08F4"/>
    <w:rsid w:val="003B0D77"/>
    <w:rsid w:val="003B1122"/>
    <w:rsid w:val="003B160E"/>
    <w:rsid w:val="003B19D0"/>
    <w:rsid w:val="003B1FFE"/>
    <w:rsid w:val="003B26DE"/>
    <w:rsid w:val="003B2FAA"/>
    <w:rsid w:val="003B3877"/>
    <w:rsid w:val="003B39BB"/>
    <w:rsid w:val="003B3F0B"/>
    <w:rsid w:val="003B5E59"/>
    <w:rsid w:val="003B64A9"/>
    <w:rsid w:val="003B6E10"/>
    <w:rsid w:val="003B6F90"/>
    <w:rsid w:val="003B7DA4"/>
    <w:rsid w:val="003C032B"/>
    <w:rsid w:val="003C0887"/>
    <w:rsid w:val="003C19BB"/>
    <w:rsid w:val="003C1C1E"/>
    <w:rsid w:val="003C25DA"/>
    <w:rsid w:val="003C2E97"/>
    <w:rsid w:val="003C3AA9"/>
    <w:rsid w:val="003C4238"/>
    <w:rsid w:val="003C5FDE"/>
    <w:rsid w:val="003C60E0"/>
    <w:rsid w:val="003C6FDA"/>
    <w:rsid w:val="003D033C"/>
    <w:rsid w:val="003D09AD"/>
    <w:rsid w:val="003D1473"/>
    <w:rsid w:val="003D156F"/>
    <w:rsid w:val="003D2005"/>
    <w:rsid w:val="003D2889"/>
    <w:rsid w:val="003D31A8"/>
    <w:rsid w:val="003D3C2A"/>
    <w:rsid w:val="003D3DCB"/>
    <w:rsid w:val="003D3FB5"/>
    <w:rsid w:val="003D41CF"/>
    <w:rsid w:val="003D50FD"/>
    <w:rsid w:val="003D64F6"/>
    <w:rsid w:val="003D65F4"/>
    <w:rsid w:val="003D6DD5"/>
    <w:rsid w:val="003D71C8"/>
    <w:rsid w:val="003E1A31"/>
    <w:rsid w:val="003E20B1"/>
    <w:rsid w:val="003E271F"/>
    <w:rsid w:val="003E33E6"/>
    <w:rsid w:val="003E3C09"/>
    <w:rsid w:val="003E407C"/>
    <w:rsid w:val="003E4E7F"/>
    <w:rsid w:val="003E6575"/>
    <w:rsid w:val="003E69D9"/>
    <w:rsid w:val="003F07A1"/>
    <w:rsid w:val="003F0B0C"/>
    <w:rsid w:val="003F1217"/>
    <w:rsid w:val="003F25C1"/>
    <w:rsid w:val="003F32E4"/>
    <w:rsid w:val="003F3564"/>
    <w:rsid w:val="003F38F5"/>
    <w:rsid w:val="003F3C60"/>
    <w:rsid w:val="003F42A7"/>
    <w:rsid w:val="003F4C58"/>
    <w:rsid w:val="003F5850"/>
    <w:rsid w:val="003F657E"/>
    <w:rsid w:val="003F7F12"/>
    <w:rsid w:val="0040008F"/>
    <w:rsid w:val="00400393"/>
    <w:rsid w:val="00401674"/>
    <w:rsid w:val="0040205D"/>
    <w:rsid w:val="00402373"/>
    <w:rsid w:val="0040407E"/>
    <w:rsid w:val="0040485B"/>
    <w:rsid w:val="0040504C"/>
    <w:rsid w:val="004053A6"/>
    <w:rsid w:val="00412867"/>
    <w:rsid w:val="00413012"/>
    <w:rsid w:val="00413018"/>
    <w:rsid w:val="004133D4"/>
    <w:rsid w:val="0041357B"/>
    <w:rsid w:val="00415A9D"/>
    <w:rsid w:val="00415D69"/>
    <w:rsid w:val="004161E4"/>
    <w:rsid w:val="0041674E"/>
    <w:rsid w:val="0041778F"/>
    <w:rsid w:val="00417A3F"/>
    <w:rsid w:val="00420C48"/>
    <w:rsid w:val="00420D85"/>
    <w:rsid w:val="00421694"/>
    <w:rsid w:val="00422090"/>
    <w:rsid w:val="004220A1"/>
    <w:rsid w:val="004225F7"/>
    <w:rsid w:val="00422D12"/>
    <w:rsid w:val="00422D43"/>
    <w:rsid w:val="00422F74"/>
    <w:rsid w:val="00423391"/>
    <w:rsid w:val="0042419E"/>
    <w:rsid w:val="004247E6"/>
    <w:rsid w:val="004259A1"/>
    <w:rsid w:val="00425B52"/>
    <w:rsid w:val="00425BB6"/>
    <w:rsid w:val="00426B83"/>
    <w:rsid w:val="00426E37"/>
    <w:rsid w:val="0042720A"/>
    <w:rsid w:val="0043057E"/>
    <w:rsid w:val="00430D9E"/>
    <w:rsid w:val="00432410"/>
    <w:rsid w:val="00432FC8"/>
    <w:rsid w:val="004340D6"/>
    <w:rsid w:val="004352CC"/>
    <w:rsid w:val="00435C0E"/>
    <w:rsid w:val="004360A9"/>
    <w:rsid w:val="004362AC"/>
    <w:rsid w:val="0043658A"/>
    <w:rsid w:val="0044056F"/>
    <w:rsid w:val="00440601"/>
    <w:rsid w:val="00441155"/>
    <w:rsid w:val="0044261F"/>
    <w:rsid w:val="00443BE6"/>
    <w:rsid w:val="00443F45"/>
    <w:rsid w:val="004451B9"/>
    <w:rsid w:val="00446DF0"/>
    <w:rsid w:val="0044743F"/>
    <w:rsid w:val="00450354"/>
    <w:rsid w:val="0045182A"/>
    <w:rsid w:val="004529BA"/>
    <w:rsid w:val="00453E2C"/>
    <w:rsid w:val="00453FFC"/>
    <w:rsid w:val="00455020"/>
    <w:rsid w:val="00455DBE"/>
    <w:rsid w:val="00455FB4"/>
    <w:rsid w:val="004573CA"/>
    <w:rsid w:val="004577D2"/>
    <w:rsid w:val="00461649"/>
    <w:rsid w:val="0046294F"/>
    <w:rsid w:val="00463321"/>
    <w:rsid w:val="00463CB4"/>
    <w:rsid w:val="0046684D"/>
    <w:rsid w:val="004679F3"/>
    <w:rsid w:val="00470A56"/>
    <w:rsid w:val="004713DA"/>
    <w:rsid w:val="004717B2"/>
    <w:rsid w:val="00472931"/>
    <w:rsid w:val="00472C8B"/>
    <w:rsid w:val="00473628"/>
    <w:rsid w:val="00473A45"/>
    <w:rsid w:val="00474DF0"/>
    <w:rsid w:val="00475326"/>
    <w:rsid w:val="0047609C"/>
    <w:rsid w:val="00476186"/>
    <w:rsid w:val="004774C4"/>
    <w:rsid w:val="00480013"/>
    <w:rsid w:val="0048077B"/>
    <w:rsid w:val="00480908"/>
    <w:rsid w:val="00481171"/>
    <w:rsid w:val="0048141D"/>
    <w:rsid w:val="0048424E"/>
    <w:rsid w:val="00485038"/>
    <w:rsid w:val="00486D4B"/>
    <w:rsid w:val="00486D55"/>
    <w:rsid w:val="00486E22"/>
    <w:rsid w:val="00487762"/>
    <w:rsid w:val="00491672"/>
    <w:rsid w:val="00491685"/>
    <w:rsid w:val="004916B6"/>
    <w:rsid w:val="0049190B"/>
    <w:rsid w:val="00492793"/>
    <w:rsid w:val="00492805"/>
    <w:rsid w:val="00493ADC"/>
    <w:rsid w:val="00494013"/>
    <w:rsid w:val="00494325"/>
    <w:rsid w:val="00495E70"/>
    <w:rsid w:val="00496869"/>
    <w:rsid w:val="00497663"/>
    <w:rsid w:val="00497F98"/>
    <w:rsid w:val="004A05ED"/>
    <w:rsid w:val="004A14BB"/>
    <w:rsid w:val="004A19A9"/>
    <w:rsid w:val="004A2263"/>
    <w:rsid w:val="004A2FC7"/>
    <w:rsid w:val="004A3D14"/>
    <w:rsid w:val="004A40B3"/>
    <w:rsid w:val="004A589A"/>
    <w:rsid w:val="004A5982"/>
    <w:rsid w:val="004A5A16"/>
    <w:rsid w:val="004A6578"/>
    <w:rsid w:val="004A6B1A"/>
    <w:rsid w:val="004A7289"/>
    <w:rsid w:val="004A73F2"/>
    <w:rsid w:val="004A76A3"/>
    <w:rsid w:val="004B0780"/>
    <w:rsid w:val="004B07C5"/>
    <w:rsid w:val="004B0BF9"/>
    <w:rsid w:val="004B1C39"/>
    <w:rsid w:val="004B1E71"/>
    <w:rsid w:val="004B376F"/>
    <w:rsid w:val="004B46A0"/>
    <w:rsid w:val="004B59CD"/>
    <w:rsid w:val="004B6C30"/>
    <w:rsid w:val="004B7367"/>
    <w:rsid w:val="004B7A15"/>
    <w:rsid w:val="004B7A5A"/>
    <w:rsid w:val="004C0156"/>
    <w:rsid w:val="004C0371"/>
    <w:rsid w:val="004C1DFA"/>
    <w:rsid w:val="004C22E9"/>
    <w:rsid w:val="004C3B76"/>
    <w:rsid w:val="004C44CA"/>
    <w:rsid w:val="004C53AF"/>
    <w:rsid w:val="004C5446"/>
    <w:rsid w:val="004C597F"/>
    <w:rsid w:val="004C6F22"/>
    <w:rsid w:val="004C7340"/>
    <w:rsid w:val="004C7696"/>
    <w:rsid w:val="004D1754"/>
    <w:rsid w:val="004D2484"/>
    <w:rsid w:val="004D2BB5"/>
    <w:rsid w:val="004D3EEF"/>
    <w:rsid w:val="004D4AC2"/>
    <w:rsid w:val="004D51BE"/>
    <w:rsid w:val="004D5924"/>
    <w:rsid w:val="004D6154"/>
    <w:rsid w:val="004D64CB"/>
    <w:rsid w:val="004D6757"/>
    <w:rsid w:val="004D6E0B"/>
    <w:rsid w:val="004D73DB"/>
    <w:rsid w:val="004E02FA"/>
    <w:rsid w:val="004E08AA"/>
    <w:rsid w:val="004E0F81"/>
    <w:rsid w:val="004E12C3"/>
    <w:rsid w:val="004E1380"/>
    <w:rsid w:val="004E17B5"/>
    <w:rsid w:val="004E2D53"/>
    <w:rsid w:val="004E4827"/>
    <w:rsid w:val="004E56A5"/>
    <w:rsid w:val="004E5F1A"/>
    <w:rsid w:val="004E5F83"/>
    <w:rsid w:val="004E6088"/>
    <w:rsid w:val="004E649C"/>
    <w:rsid w:val="004E7A8D"/>
    <w:rsid w:val="004F12D5"/>
    <w:rsid w:val="004F1FB1"/>
    <w:rsid w:val="004F2777"/>
    <w:rsid w:val="004F301B"/>
    <w:rsid w:val="004F3E5F"/>
    <w:rsid w:val="004F404F"/>
    <w:rsid w:val="004F43D8"/>
    <w:rsid w:val="004F471B"/>
    <w:rsid w:val="004F7269"/>
    <w:rsid w:val="00501353"/>
    <w:rsid w:val="00501AB2"/>
    <w:rsid w:val="00501CFF"/>
    <w:rsid w:val="005021EC"/>
    <w:rsid w:val="005030FA"/>
    <w:rsid w:val="00503C9C"/>
    <w:rsid w:val="0050448D"/>
    <w:rsid w:val="005049DE"/>
    <w:rsid w:val="00505CB0"/>
    <w:rsid w:val="00505CBA"/>
    <w:rsid w:val="00506032"/>
    <w:rsid w:val="0050687F"/>
    <w:rsid w:val="00506A9C"/>
    <w:rsid w:val="00506E9B"/>
    <w:rsid w:val="00507777"/>
    <w:rsid w:val="005078F8"/>
    <w:rsid w:val="00507E66"/>
    <w:rsid w:val="00511B7A"/>
    <w:rsid w:val="00511E5C"/>
    <w:rsid w:val="005129EB"/>
    <w:rsid w:val="00513445"/>
    <w:rsid w:val="005135E9"/>
    <w:rsid w:val="00513EDC"/>
    <w:rsid w:val="00515916"/>
    <w:rsid w:val="005176A7"/>
    <w:rsid w:val="00517A90"/>
    <w:rsid w:val="005211ED"/>
    <w:rsid w:val="005217D9"/>
    <w:rsid w:val="005218A8"/>
    <w:rsid w:val="00521B07"/>
    <w:rsid w:val="00521BAC"/>
    <w:rsid w:val="00523BAD"/>
    <w:rsid w:val="005240CF"/>
    <w:rsid w:val="00524671"/>
    <w:rsid w:val="0052670D"/>
    <w:rsid w:val="0052694D"/>
    <w:rsid w:val="00527756"/>
    <w:rsid w:val="00527D58"/>
    <w:rsid w:val="00530822"/>
    <w:rsid w:val="0053136B"/>
    <w:rsid w:val="0053195C"/>
    <w:rsid w:val="00532188"/>
    <w:rsid w:val="0053275A"/>
    <w:rsid w:val="00532AE8"/>
    <w:rsid w:val="00533886"/>
    <w:rsid w:val="00535E0D"/>
    <w:rsid w:val="0053685D"/>
    <w:rsid w:val="00536CDD"/>
    <w:rsid w:val="00537989"/>
    <w:rsid w:val="00537D64"/>
    <w:rsid w:val="00540D83"/>
    <w:rsid w:val="00542101"/>
    <w:rsid w:val="00542C34"/>
    <w:rsid w:val="005458B5"/>
    <w:rsid w:val="0054779E"/>
    <w:rsid w:val="00547B89"/>
    <w:rsid w:val="00547CFB"/>
    <w:rsid w:val="00547DF1"/>
    <w:rsid w:val="00550576"/>
    <w:rsid w:val="00550BA4"/>
    <w:rsid w:val="00551E7F"/>
    <w:rsid w:val="0055207B"/>
    <w:rsid w:val="0055277C"/>
    <w:rsid w:val="0055332F"/>
    <w:rsid w:val="0055391A"/>
    <w:rsid w:val="00553B3B"/>
    <w:rsid w:val="00554A74"/>
    <w:rsid w:val="00554BB5"/>
    <w:rsid w:val="0055569B"/>
    <w:rsid w:val="00555B3C"/>
    <w:rsid w:val="005576F6"/>
    <w:rsid w:val="00557BA4"/>
    <w:rsid w:val="00557F06"/>
    <w:rsid w:val="005610A7"/>
    <w:rsid w:val="00561D37"/>
    <w:rsid w:val="00561F75"/>
    <w:rsid w:val="00562D01"/>
    <w:rsid w:val="0056470F"/>
    <w:rsid w:val="00564A79"/>
    <w:rsid w:val="00566438"/>
    <w:rsid w:val="0056658B"/>
    <w:rsid w:val="00567AA5"/>
    <w:rsid w:val="00567FDA"/>
    <w:rsid w:val="00570894"/>
    <w:rsid w:val="005722DC"/>
    <w:rsid w:val="005724AB"/>
    <w:rsid w:val="00572542"/>
    <w:rsid w:val="00572C0C"/>
    <w:rsid w:val="00573688"/>
    <w:rsid w:val="00574943"/>
    <w:rsid w:val="005753B6"/>
    <w:rsid w:val="00575589"/>
    <w:rsid w:val="005755AE"/>
    <w:rsid w:val="00575CDB"/>
    <w:rsid w:val="005777F0"/>
    <w:rsid w:val="005779A9"/>
    <w:rsid w:val="005803FD"/>
    <w:rsid w:val="00580E0D"/>
    <w:rsid w:val="00581444"/>
    <w:rsid w:val="0058377E"/>
    <w:rsid w:val="005854E6"/>
    <w:rsid w:val="005858FC"/>
    <w:rsid w:val="00586C5B"/>
    <w:rsid w:val="00590AAD"/>
    <w:rsid w:val="00590B48"/>
    <w:rsid w:val="005911FB"/>
    <w:rsid w:val="005918DD"/>
    <w:rsid w:val="005926E3"/>
    <w:rsid w:val="0059618F"/>
    <w:rsid w:val="00596FE5"/>
    <w:rsid w:val="00597C57"/>
    <w:rsid w:val="00597CAE"/>
    <w:rsid w:val="005A0469"/>
    <w:rsid w:val="005A04FD"/>
    <w:rsid w:val="005A2CCF"/>
    <w:rsid w:val="005A3834"/>
    <w:rsid w:val="005A4340"/>
    <w:rsid w:val="005A5301"/>
    <w:rsid w:val="005A5421"/>
    <w:rsid w:val="005B10D8"/>
    <w:rsid w:val="005B13F4"/>
    <w:rsid w:val="005B1549"/>
    <w:rsid w:val="005B15CA"/>
    <w:rsid w:val="005B189E"/>
    <w:rsid w:val="005B3BBD"/>
    <w:rsid w:val="005B440C"/>
    <w:rsid w:val="005B46FF"/>
    <w:rsid w:val="005B4B36"/>
    <w:rsid w:val="005B5569"/>
    <w:rsid w:val="005B57CD"/>
    <w:rsid w:val="005B6153"/>
    <w:rsid w:val="005B7F72"/>
    <w:rsid w:val="005C1CC8"/>
    <w:rsid w:val="005C2156"/>
    <w:rsid w:val="005C21F8"/>
    <w:rsid w:val="005C34AC"/>
    <w:rsid w:val="005C3C7A"/>
    <w:rsid w:val="005C4D56"/>
    <w:rsid w:val="005C4EC3"/>
    <w:rsid w:val="005C6407"/>
    <w:rsid w:val="005C680E"/>
    <w:rsid w:val="005C7697"/>
    <w:rsid w:val="005C778C"/>
    <w:rsid w:val="005C7804"/>
    <w:rsid w:val="005C79C4"/>
    <w:rsid w:val="005C7DF6"/>
    <w:rsid w:val="005D2722"/>
    <w:rsid w:val="005D2838"/>
    <w:rsid w:val="005D2DE9"/>
    <w:rsid w:val="005D3009"/>
    <w:rsid w:val="005D4936"/>
    <w:rsid w:val="005D4BF3"/>
    <w:rsid w:val="005D5E36"/>
    <w:rsid w:val="005D6028"/>
    <w:rsid w:val="005D7A07"/>
    <w:rsid w:val="005E0376"/>
    <w:rsid w:val="005E076A"/>
    <w:rsid w:val="005E0946"/>
    <w:rsid w:val="005E100A"/>
    <w:rsid w:val="005E1423"/>
    <w:rsid w:val="005E1E8A"/>
    <w:rsid w:val="005E2380"/>
    <w:rsid w:val="005E2BA1"/>
    <w:rsid w:val="005E3033"/>
    <w:rsid w:val="005E30E8"/>
    <w:rsid w:val="005E3F7B"/>
    <w:rsid w:val="005E5E29"/>
    <w:rsid w:val="005E69DD"/>
    <w:rsid w:val="005E6E2C"/>
    <w:rsid w:val="005E7B1A"/>
    <w:rsid w:val="005F097F"/>
    <w:rsid w:val="005F0CFC"/>
    <w:rsid w:val="005F1222"/>
    <w:rsid w:val="005F1523"/>
    <w:rsid w:val="005F2710"/>
    <w:rsid w:val="005F390F"/>
    <w:rsid w:val="005F3FD3"/>
    <w:rsid w:val="005F4072"/>
    <w:rsid w:val="005F51DA"/>
    <w:rsid w:val="005F5679"/>
    <w:rsid w:val="005F6C8A"/>
    <w:rsid w:val="005F6FBB"/>
    <w:rsid w:val="005F76F4"/>
    <w:rsid w:val="00600512"/>
    <w:rsid w:val="00600DC8"/>
    <w:rsid w:val="006018A3"/>
    <w:rsid w:val="00601B41"/>
    <w:rsid w:val="00603498"/>
    <w:rsid w:val="00603E54"/>
    <w:rsid w:val="00604419"/>
    <w:rsid w:val="006044B0"/>
    <w:rsid w:val="00604944"/>
    <w:rsid w:val="00605408"/>
    <w:rsid w:val="00605685"/>
    <w:rsid w:val="0060590B"/>
    <w:rsid w:val="00606E3F"/>
    <w:rsid w:val="00607906"/>
    <w:rsid w:val="00607B53"/>
    <w:rsid w:val="0061035F"/>
    <w:rsid w:val="00610409"/>
    <w:rsid w:val="00612755"/>
    <w:rsid w:val="00613E95"/>
    <w:rsid w:val="00613EAA"/>
    <w:rsid w:val="00614EA3"/>
    <w:rsid w:val="00615952"/>
    <w:rsid w:val="00615D8A"/>
    <w:rsid w:val="00616176"/>
    <w:rsid w:val="00616B78"/>
    <w:rsid w:val="00617D3A"/>
    <w:rsid w:val="00620201"/>
    <w:rsid w:val="00620C7E"/>
    <w:rsid w:val="00621129"/>
    <w:rsid w:val="006216E7"/>
    <w:rsid w:val="00621ADC"/>
    <w:rsid w:val="00621DDD"/>
    <w:rsid w:val="00622C8D"/>
    <w:rsid w:val="00623DB7"/>
    <w:rsid w:val="006256A8"/>
    <w:rsid w:val="00625FFF"/>
    <w:rsid w:val="00626A07"/>
    <w:rsid w:val="00626A82"/>
    <w:rsid w:val="00626C8C"/>
    <w:rsid w:val="0062753A"/>
    <w:rsid w:val="00627637"/>
    <w:rsid w:val="00631040"/>
    <w:rsid w:val="00631357"/>
    <w:rsid w:val="006314F3"/>
    <w:rsid w:val="00632337"/>
    <w:rsid w:val="00632E64"/>
    <w:rsid w:val="00633429"/>
    <w:rsid w:val="006351CE"/>
    <w:rsid w:val="00635754"/>
    <w:rsid w:val="00635BB3"/>
    <w:rsid w:val="00636E31"/>
    <w:rsid w:val="0064004C"/>
    <w:rsid w:val="00640DB5"/>
    <w:rsid w:val="00640DBA"/>
    <w:rsid w:val="006413BC"/>
    <w:rsid w:val="00641DBA"/>
    <w:rsid w:val="00642420"/>
    <w:rsid w:val="00642842"/>
    <w:rsid w:val="006448CE"/>
    <w:rsid w:val="00644D29"/>
    <w:rsid w:val="0064646A"/>
    <w:rsid w:val="00646C6B"/>
    <w:rsid w:val="00646CB0"/>
    <w:rsid w:val="0064730B"/>
    <w:rsid w:val="00650E1E"/>
    <w:rsid w:val="00650EEC"/>
    <w:rsid w:val="006518BF"/>
    <w:rsid w:val="006521B9"/>
    <w:rsid w:val="006540D9"/>
    <w:rsid w:val="006546AC"/>
    <w:rsid w:val="006565A5"/>
    <w:rsid w:val="006609CD"/>
    <w:rsid w:val="00661097"/>
    <w:rsid w:val="00663912"/>
    <w:rsid w:val="006651E5"/>
    <w:rsid w:val="00665F77"/>
    <w:rsid w:val="00666B3D"/>
    <w:rsid w:val="0066747E"/>
    <w:rsid w:val="006677EB"/>
    <w:rsid w:val="0067030F"/>
    <w:rsid w:val="00670AD6"/>
    <w:rsid w:val="00671399"/>
    <w:rsid w:val="00671A99"/>
    <w:rsid w:val="00672145"/>
    <w:rsid w:val="006723E6"/>
    <w:rsid w:val="0067312F"/>
    <w:rsid w:val="0067383A"/>
    <w:rsid w:val="00673A86"/>
    <w:rsid w:val="00673C39"/>
    <w:rsid w:val="0067495C"/>
    <w:rsid w:val="00674FE3"/>
    <w:rsid w:val="0067534D"/>
    <w:rsid w:val="006755B2"/>
    <w:rsid w:val="0067568A"/>
    <w:rsid w:val="0067632F"/>
    <w:rsid w:val="006771BC"/>
    <w:rsid w:val="00677934"/>
    <w:rsid w:val="006818F1"/>
    <w:rsid w:val="00681AC5"/>
    <w:rsid w:val="00683001"/>
    <w:rsid w:val="006835D2"/>
    <w:rsid w:val="0068390E"/>
    <w:rsid w:val="006845F8"/>
    <w:rsid w:val="00684791"/>
    <w:rsid w:val="006853A0"/>
    <w:rsid w:val="00685A0A"/>
    <w:rsid w:val="00686040"/>
    <w:rsid w:val="00686515"/>
    <w:rsid w:val="00686B9B"/>
    <w:rsid w:val="00690852"/>
    <w:rsid w:val="00690862"/>
    <w:rsid w:val="0069139C"/>
    <w:rsid w:val="00693200"/>
    <w:rsid w:val="0069365E"/>
    <w:rsid w:val="00696324"/>
    <w:rsid w:val="00697C15"/>
    <w:rsid w:val="00697F9B"/>
    <w:rsid w:val="006A0807"/>
    <w:rsid w:val="006A08D1"/>
    <w:rsid w:val="006A1093"/>
    <w:rsid w:val="006A1429"/>
    <w:rsid w:val="006A182F"/>
    <w:rsid w:val="006A27B9"/>
    <w:rsid w:val="006A2DA2"/>
    <w:rsid w:val="006A4282"/>
    <w:rsid w:val="006A6C83"/>
    <w:rsid w:val="006A707F"/>
    <w:rsid w:val="006A794B"/>
    <w:rsid w:val="006A7CB8"/>
    <w:rsid w:val="006B07D2"/>
    <w:rsid w:val="006B1841"/>
    <w:rsid w:val="006B28E9"/>
    <w:rsid w:val="006B35A1"/>
    <w:rsid w:val="006B3851"/>
    <w:rsid w:val="006B403E"/>
    <w:rsid w:val="006B489E"/>
    <w:rsid w:val="006B5402"/>
    <w:rsid w:val="006B54E5"/>
    <w:rsid w:val="006B7B7C"/>
    <w:rsid w:val="006B7BC0"/>
    <w:rsid w:val="006C000C"/>
    <w:rsid w:val="006C0103"/>
    <w:rsid w:val="006C1245"/>
    <w:rsid w:val="006C2BB2"/>
    <w:rsid w:val="006C4B5F"/>
    <w:rsid w:val="006C507B"/>
    <w:rsid w:val="006C6D21"/>
    <w:rsid w:val="006C77D4"/>
    <w:rsid w:val="006C7B32"/>
    <w:rsid w:val="006D00ED"/>
    <w:rsid w:val="006D0907"/>
    <w:rsid w:val="006D1390"/>
    <w:rsid w:val="006D160D"/>
    <w:rsid w:val="006D177B"/>
    <w:rsid w:val="006D283B"/>
    <w:rsid w:val="006D36AE"/>
    <w:rsid w:val="006D36FD"/>
    <w:rsid w:val="006D5DE7"/>
    <w:rsid w:val="006D7B43"/>
    <w:rsid w:val="006D7F61"/>
    <w:rsid w:val="006E035B"/>
    <w:rsid w:val="006E111E"/>
    <w:rsid w:val="006E1184"/>
    <w:rsid w:val="006E2C94"/>
    <w:rsid w:val="006E4168"/>
    <w:rsid w:val="006E444E"/>
    <w:rsid w:val="006E462E"/>
    <w:rsid w:val="006E48C4"/>
    <w:rsid w:val="006E5AF0"/>
    <w:rsid w:val="006E6378"/>
    <w:rsid w:val="006E66AF"/>
    <w:rsid w:val="006E74BD"/>
    <w:rsid w:val="006E7F2C"/>
    <w:rsid w:val="006F0992"/>
    <w:rsid w:val="006F0997"/>
    <w:rsid w:val="006F13F5"/>
    <w:rsid w:val="006F242F"/>
    <w:rsid w:val="006F4023"/>
    <w:rsid w:val="006F40BE"/>
    <w:rsid w:val="006F4943"/>
    <w:rsid w:val="006F7AC4"/>
    <w:rsid w:val="006F7C29"/>
    <w:rsid w:val="0070095A"/>
    <w:rsid w:val="00701304"/>
    <w:rsid w:val="0070243F"/>
    <w:rsid w:val="007024FF"/>
    <w:rsid w:val="00702870"/>
    <w:rsid w:val="00702BF4"/>
    <w:rsid w:val="00702DE6"/>
    <w:rsid w:val="00703A73"/>
    <w:rsid w:val="0070569A"/>
    <w:rsid w:val="007056AD"/>
    <w:rsid w:val="00707E2E"/>
    <w:rsid w:val="007104A8"/>
    <w:rsid w:val="007112FC"/>
    <w:rsid w:val="007113E5"/>
    <w:rsid w:val="00711EED"/>
    <w:rsid w:val="0071379D"/>
    <w:rsid w:val="00713B82"/>
    <w:rsid w:val="00713BB6"/>
    <w:rsid w:val="00713D8B"/>
    <w:rsid w:val="0071688C"/>
    <w:rsid w:val="00716E1B"/>
    <w:rsid w:val="0071767E"/>
    <w:rsid w:val="007205D8"/>
    <w:rsid w:val="00720A1C"/>
    <w:rsid w:val="0072186C"/>
    <w:rsid w:val="00722DBF"/>
    <w:rsid w:val="007236CF"/>
    <w:rsid w:val="007279B7"/>
    <w:rsid w:val="00731B1A"/>
    <w:rsid w:val="00731FB2"/>
    <w:rsid w:val="00732C37"/>
    <w:rsid w:val="0073305D"/>
    <w:rsid w:val="007337F4"/>
    <w:rsid w:val="0073381C"/>
    <w:rsid w:val="00733B69"/>
    <w:rsid w:val="00734684"/>
    <w:rsid w:val="007354A6"/>
    <w:rsid w:val="007361A8"/>
    <w:rsid w:val="00736FF7"/>
    <w:rsid w:val="00737391"/>
    <w:rsid w:val="00737E3B"/>
    <w:rsid w:val="007400A8"/>
    <w:rsid w:val="0074035C"/>
    <w:rsid w:val="007405BD"/>
    <w:rsid w:val="00740D7C"/>
    <w:rsid w:val="00741161"/>
    <w:rsid w:val="007430AD"/>
    <w:rsid w:val="00743A7B"/>
    <w:rsid w:val="0074453F"/>
    <w:rsid w:val="00744E3D"/>
    <w:rsid w:val="00744E45"/>
    <w:rsid w:val="00744E76"/>
    <w:rsid w:val="00745509"/>
    <w:rsid w:val="007462A5"/>
    <w:rsid w:val="00746872"/>
    <w:rsid w:val="00746B10"/>
    <w:rsid w:val="00746F78"/>
    <w:rsid w:val="00747096"/>
    <w:rsid w:val="00747354"/>
    <w:rsid w:val="0075109D"/>
    <w:rsid w:val="007518C9"/>
    <w:rsid w:val="00752F7F"/>
    <w:rsid w:val="00753470"/>
    <w:rsid w:val="007536D3"/>
    <w:rsid w:val="00754802"/>
    <w:rsid w:val="00754C47"/>
    <w:rsid w:val="00755834"/>
    <w:rsid w:val="00755FFC"/>
    <w:rsid w:val="0075611E"/>
    <w:rsid w:val="0075728A"/>
    <w:rsid w:val="00757998"/>
    <w:rsid w:val="00757F52"/>
    <w:rsid w:val="007605A6"/>
    <w:rsid w:val="0076060D"/>
    <w:rsid w:val="007608F5"/>
    <w:rsid w:val="00760AB2"/>
    <w:rsid w:val="0076236B"/>
    <w:rsid w:val="00762D2E"/>
    <w:rsid w:val="00762D9C"/>
    <w:rsid w:val="0076536E"/>
    <w:rsid w:val="00765ACC"/>
    <w:rsid w:val="00766668"/>
    <w:rsid w:val="00766692"/>
    <w:rsid w:val="00770DE4"/>
    <w:rsid w:val="007714A7"/>
    <w:rsid w:val="00772B4E"/>
    <w:rsid w:val="00772EBE"/>
    <w:rsid w:val="0077414F"/>
    <w:rsid w:val="0077429A"/>
    <w:rsid w:val="00775E0A"/>
    <w:rsid w:val="007764A0"/>
    <w:rsid w:val="00777C59"/>
    <w:rsid w:val="00780490"/>
    <w:rsid w:val="00781222"/>
    <w:rsid w:val="00782BB2"/>
    <w:rsid w:val="0078349A"/>
    <w:rsid w:val="0078384B"/>
    <w:rsid w:val="00784604"/>
    <w:rsid w:val="00784EE1"/>
    <w:rsid w:val="007851CF"/>
    <w:rsid w:val="00785F49"/>
    <w:rsid w:val="00786242"/>
    <w:rsid w:val="0078633C"/>
    <w:rsid w:val="00787B60"/>
    <w:rsid w:val="00787BAB"/>
    <w:rsid w:val="0079182B"/>
    <w:rsid w:val="00791BAD"/>
    <w:rsid w:val="00791C48"/>
    <w:rsid w:val="00791FD4"/>
    <w:rsid w:val="0079239F"/>
    <w:rsid w:val="0079266F"/>
    <w:rsid w:val="00792F87"/>
    <w:rsid w:val="00793BE3"/>
    <w:rsid w:val="00793CB6"/>
    <w:rsid w:val="00796097"/>
    <w:rsid w:val="0079737B"/>
    <w:rsid w:val="0079755F"/>
    <w:rsid w:val="00797E63"/>
    <w:rsid w:val="007A0AF1"/>
    <w:rsid w:val="007A1BCE"/>
    <w:rsid w:val="007A35A9"/>
    <w:rsid w:val="007A6086"/>
    <w:rsid w:val="007A757C"/>
    <w:rsid w:val="007A796F"/>
    <w:rsid w:val="007A7CEA"/>
    <w:rsid w:val="007A7D09"/>
    <w:rsid w:val="007A7D59"/>
    <w:rsid w:val="007B15BF"/>
    <w:rsid w:val="007B1A89"/>
    <w:rsid w:val="007B1B64"/>
    <w:rsid w:val="007B2EB4"/>
    <w:rsid w:val="007B40F1"/>
    <w:rsid w:val="007B4146"/>
    <w:rsid w:val="007B4B39"/>
    <w:rsid w:val="007B57AD"/>
    <w:rsid w:val="007B5913"/>
    <w:rsid w:val="007B658E"/>
    <w:rsid w:val="007B6A33"/>
    <w:rsid w:val="007C11C0"/>
    <w:rsid w:val="007C1AED"/>
    <w:rsid w:val="007C2FB7"/>
    <w:rsid w:val="007C38ED"/>
    <w:rsid w:val="007C47E7"/>
    <w:rsid w:val="007C65F0"/>
    <w:rsid w:val="007C6DD1"/>
    <w:rsid w:val="007C70CE"/>
    <w:rsid w:val="007C79E2"/>
    <w:rsid w:val="007D1AC6"/>
    <w:rsid w:val="007D1D50"/>
    <w:rsid w:val="007D22DB"/>
    <w:rsid w:val="007D2B71"/>
    <w:rsid w:val="007D43C9"/>
    <w:rsid w:val="007D440E"/>
    <w:rsid w:val="007D5714"/>
    <w:rsid w:val="007D5DBA"/>
    <w:rsid w:val="007D5E70"/>
    <w:rsid w:val="007D6AD9"/>
    <w:rsid w:val="007D6EDF"/>
    <w:rsid w:val="007D72DD"/>
    <w:rsid w:val="007D79D5"/>
    <w:rsid w:val="007D7B38"/>
    <w:rsid w:val="007E14C4"/>
    <w:rsid w:val="007E2308"/>
    <w:rsid w:val="007E3CE8"/>
    <w:rsid w:val="007E3EFD"/>
    <w:rsid w:val="007E4281"/>
    <w:rsid w:val="007E471B"/>
    <w:rsid w:val="007E4E35"/>
    <w:rsid w:val="007E5595"/>
    <w:rsid w:val="007E658A"/>
    <w:rsid w:val="007E73DC"/>
    <w:rsid w:val="007F0CDF"/>
    <w:rsid w:val="007F1242"/>
    <w:rsid w:val="007F135D"/>
    <w:rsid w:val="007F162B"/>
    <w:rsid w:val="007F1C78"/>
    <w:rsid w:val="007F2C94"/>
    <w:rsid w:val="007F3C83"/>
    <w:rsid w:val="007F52F0"/>
    <w:rsid w:val="007F5DCF"/>
    <w:rsid w:val="007F7651"/>
    <w:rsid w:val="00800EC0"/>
    <w:rsid w:val="008015BE"/>
    <w:rsid w:val="00801856"/>
    <w:rsid w:val="00801C78"/>
    <w:rsid w:val="00803828"/>
    <w:rsid w:val="00804E79"/>
    <w:rsid w:val="00806C8C"/>
    <w:rsid w:val="00807699"/>
    <w:rsid w:val="0080782D"/>
    <w:rsid w:val="0080792C"/>
    <w:rsid w:val="00810928"/>
    <w:rsid w:val="00810B24"/>
    <w:rsid w:val="00810C01"/>
    <w:rsid w:val="00811A28"/>
    <w:rsid w:val="008121D1"/>
    <w:rsid w:val="00813236"/>
    <w:rsid w:val="00813D4D"/>
    <w:rsid w:val="008152F8"/>
    <w:rsid w:val="00815CB4"/>
    <w:rsid w:val="00815F43"/>
    <w:rsid w:val="008160D1"/>
    <w:rsid w:val="00816D8E"/>
    <w:rsid w:val="00817A03"/>
    <w:rsid w:val="00817C69"/>
    <w:rsid w:val="0082013A"/>
    <w:rsid w:val="00820642"/>
    <w:rsid w:val="00820855"/>
    <w:rsid w:val="00822534"/>
    <w:rsid w:val="00822D71"/>
    <w:rsid w:val="00822FE9"/>
    <w:rsid w:val="008235B4"/>
    <w:rsid w:val="008237F2"/>
    <w:rsid w:val="0082493A"/>
    <w:rsid w:val="00824DFF"/>
    <w:rsid w:val="0082520C"/>
    <w:rsid w:val="008255A7"/>
    <w:rsid w:val="00825703"/>
    <w:rsid w:val="00825BBC"/>
    <w:rsid w:val="00825D45"/>
    <w:rsid w:val="0082603A"/>
    <w:rsid w:val="008261AE"/>
    <w:rsid w:val="00826A51"/>
    <w:rsid w:val="008273EC"/>
    <w:rsid w:val="00827983"/>
    <w:rsid w:val="00827A0E"/>
    <w:rsid w:val="00830830"/>
    <w:rsid w:val="00831B10"/>
    <w:rsid w:val="008344A1"/>
    <w:rsid w:val="00834D67"/>
    <w:rsid w:val="00834E79"/>
    <w:rsid w:val="00835C97"/>
    <w:rsid w:val="00836D12"/>
    <w:rsid w:val="00840068"/>
    <w:rsid w:val="0084011C"/>
    <w:rsid w:val="00841D7E"/>
    <w:rsid w:val="00841E23"/>
    <w:rsid w:val="008421A2"/>
    <w:rsid w:val="00843853"/>
    <w:rsid w:val="00843C83"/>
    <w:rsid w:val="008440DE"/>
    <w:rsid w:val="008447DF"/>
    <w:rsid w:val="0084498E"/>
    <w:rsid w:val="00844CE6"/>
    <w:rsid w:val="0084515B"/>
    <w:rsid w:val="0084563A"/>
    <w:rsid w:val="00846E72"/>
    <w:rsid w:val="00850F51"/>
    <w:rsid w:val="00852969"/>
    <w:rsid w:val="0085337B"/>
    <w:rsid w:val="00853C3B"/>
    <w:rsid w:val="00854F1E"/>
    <w:rsid w:val="008552CD"/>
    <w:rsid w:val="00855644"/>
    <w:rsid w:val="00856AF2"/>
    <w:rsid w:val="00860088"/>
    <w:rsid w:val="00860EA9"/>
    <w:rsid w:val="00861071"/>
    <w:rsid w:val="0086112B"/>
    <w:rsid w:val="00861601"/>
    <w:rsid w:val="00861E41"/>
    <w:rsid w:val="008622FE"/>
    <w:rsid w:val="00863734"/>
    <w:rsid w:val="008642AC"/>
    <w:rsid w:val="00865352"/>
    <w:rsid w:val="00866FA0"/>
    <w:rsid w:val="00870419"/>
    <w:rsid w:val="008718AD"/>
    <w:rsid w:val="00872CAD"/>
    <w:rsid w:val="00873835"/>
    <w:rsid w:val="00874265"/>
    <w:rsid w:val="00874E38"/>
    <w:rsid w:val="008758A7"/>
    <w:rsid w:val="00876C3B"/>
    <w:rsid w:val="00876F4E"/>
    <w:rsid w:val="0087709D"/>
    <w:rsid w:val="00877681"/>
    <w:rsid w:val="00877BDE"/>
    <w:rsid w:val="00877D7F"/>
    <w:rsid w:val="00880537"/>
    <w:rsid w:val="00880A76"/>
    <w:rsid w:val="00880EC6"/>
    <w:rsid w:val="00882FDD"/>
    <w:rsid w:val="00883618"/>
    <w:rsid w:val="0088369F"/>
    <w:rsid w:val="008853D2"/>
    <w:rsid w:val="008856D4"/>
    <w:rsid w:val="00885CFB"/>
    <w:rsid w:val="00885F88"/>
    <w:rsid w:val="00886A48"/>
    <w:rsid w:val="008912CB"/>
    <w:rsid w:val="008930E7"/>
    <w:rsid w:val="00894B85"/>
    <w:rsid w:val="00895B30"/>
    <w:rsid w:val="00895D75"/>
    <w:rsid w:val="0089654F"/>
    <w:rsid w:val="008972D5"/>
    <w:rsid w:val="008A1601"/>
    <w:rsid w:val="008A1AC0"/>
    <w:rsid w:val="008A2357"/>
    <w:rsid w:val="008A23C3"/>
    <w:rsid w:val="008A51B5"/>
    <w:rsid w:val="008A7DAE"/>
    <w:rsid w:val="008B0FF5"/>
    <w:rsid w:val="008B10BA"/>
    <w:rsid w:val="008B1343"/>
    <w:rsid w:val="008B2295"/>
    <w:rsid w:val="008B330E"/>
    <w:rsid w:val="008B349A"/>
    <w:rsid w:val="008B379F"/>
    <w:rsid w:val="008B3A6E"/>
    <w:rsid w:val="008B401E"/>
    <w:rsid w:val="008B58A4"/>
    <w:rsid w:val="008B6437"/>
    <w:rsid w:val="008B68F7"/>
    <w:rsid w:val="008B6A7B"/>
    <w:rsid w:val="008B6D0E"/>
    <w:rsid w:val="008C0B18"/>
    <w:rsid w:val="008C0F14"/>
    <w:rsid w:val="008C1170"/>
    <w:rsid w:val="008C15AD"/>
    <w:rsid w:val="008C246A"/>
    <w:rsid w:val="008C2A39"/>
    <w:rsid w:val="008C36C2"/>
    <w:rsid w:val="008C3982"/>
    <w:rsid w:val="008C47C9"/>
    <w:rsid w:val="008C480D"/>
    <w:rsid w:val="008C4901"/>
    <w:rsid w:val="008C5215"/>
    <w:rsid w:val="008C692D"/>
    <w:rsid w:val="008C6F55"/>
    <w:rsid w:val="008C6FEC"/>
    <w:rsid w:val="008C7692"/>
    <w:rsid w:val="008C79D8"/>
    <w:rsid w:val="008C7BB9"/>
    <w:rsid w:val="008D0003"/>
    <w:rsid w:val="008D058B"/>
    <w:rsid w:val="008D1093"/>
    <w:rsid w:val="008D1A1B"/>
    <w:rsid w:val="008D1F89"/>
    <w:rsid w:val="008D2976"/>
    <w:rsid w:val="008D2C6B"/>
    <w:rsid w:val="008D3347"/>
    <w:rsid w:val="008D48B7"/>
    <w:rsid w:val="008D4D63"/>
    <w:rsid w:val="008D5D6F"/>
    <w:rsid w:val="008D6E12"/>
    <w:rsid w:val="008E06F1"/>
    <w:rsid w:val="008E0A04"/>
    <w:rsid w:val="008E0F52"/>
    <w:rsid w:val="008E15FA"/>
    <w:rsid w:val="008E2310"/>
    <w:rsid w:val="008E40FC"/>
    <w:rsid w:val="008E442E"/>
    <w:rsid w:val="008E48C8"/>
    <w:rsid w:val="008E5F15"/>
    <w:rsid w:val="008E6C0B"/>
    <w:rsid w:val="008E700F"/>
    <w:rsid w:val="008E741B"/>
    <w:rsid w:val="008E7749"/>
    <w:rsid w:val="008E7DD0"/>
    <w:rsid w:val="008E7FA1"/>
    <w:rsid w:val="008F064A"/>
    <w:rsid w:val="008F18C8"/>
    <w:rsid w:val="008F2754"/>
    <w:rsid w:val="008F3B9D"/>
    <w:rsid w:val="008F4A48"/>
    <w:rsid w:val="008F4E2F"/>
    <w:rsid w:val="008F4FCF"/>
    <w:rsid w:val="008F592F"/>
    <w:rsid w:val="008F59EA"/>
    <w:rsid w:val="008F5E82"/>
    <w:rsid w:val="008F61BF"/>
    <w:rsid w:val="008F62DB"/>
    <w:rsid w:val="008F7395"/>
    <w:rsid w:val="008F7703"/>
    <w:rsid w:val="008F7C01"/>
    <w:rsid w:val="008F7D03"/>
    <w:rsid w:val="008F7FD7"/>
    <w:rsid w:val="00900D21"/>
    <w:rsid w:val="009013C4"/>
    <w:rsid w:val="00901478"/>
    <w:rsid w:val="00903183"/>
    <w:rsid w:val="00903963"/>
    <w:rsid w:val="00903DBF"/>
    <w:rsid w:val="00903EF4"/>
    <w:rsid w:val="0090468A"/>
    <w:rsid w:val="00905AFE"/>
    <w:rsid w:val="00905FE0"/>
    <w:rsid w:val="0090651D"/>
    <w:rsid w:val="00906930"/>
    <w:rsid w:val="00906BE9"/>
    <w:rsid w:val="00906CCC"/>
    <w:rsid w:val="00906F3C"/>
    <w:rsid w:val="009071B0"/>
    <w:rsid w:val="00910C69"/>
    <w:rsid w:val="0091142C"/>
    <w:rsid w:val="00912400"/>
    <w:rsid w:val="0091586B"/>
    <w:rsid w:val="009161B6"/>
    <w:rsid w:val="00916482"/>
    <w:rsid w:val="00916708"/>
    <w:rsid w:val="0091671D"/>
    <w:rsid w:val="00917632"/>
    <w:rsid w:val="009201AF"/>
    <w:rsid w:val="00920BB2"/>
    <w:rsid w:val="00920F46"/>
    <w:rsid w:val="009221FF"/>
    <w:rsid w:val="009223A0"/>
    <w:rsid w:val="00922E62"/>
    <w:rsid w:val="00922E7C"/>
    <w:rsid w:val="00923DC1"/>
    <w:rsid w:val="009247D1"/>
    <w:rsid w:val="00924BEA"/>
    <w:rsid w:val="00924D7D"/>
    <w:rsid w:val="00924D9B"/>
    <w:rsid w:val="00925094"/>
    <w:rsid w:val="00925209"/>
    <w:rsid w:val="00925E3C"/>
    <w:rsid w:val="00927E0D"/>
    <w:rsid w:val="00931A25"/>
    <w:rsid w:val="0093235B"/>
    <w:rsid w:val="00933827"/>
    <w:rsid w:val="00933B1A"/>
    <w:rsid w:val="00933DF7"/>
    <w:rsid w:val="0093467F"/>
    <w:rsid w:val="00935BEA"/>
    <w:rsid w:val="0093785B"/>
    <w:rsid w:val="00941133"/>
    <w:rsid w:val="00941B42"/>
    <w:rsid w:val="00941EC0"/>
    <w:rsid w:val="009421E6"/>
    <w:rsid w:val="009433AC"/>
    <w:rsid w:val="009439A0"/>
    <w:rsid w:val="00943B96"/>
    <w:rsid w:val="0094420B"/>
    <w:rsid w:val="009449C5"/>
    <w:rsid w:val="00944A46"/>
    <w:rsid w:val="00945420"/>
    <w:rsid w:val="00945ABD"/>
    <w:rsid w:val="00945FE0"/>
    <w:rsid w:val="00946A00"/>
    <w:rsid w:val="00950436"/>
    <w:rsid w:val="00950602"/>
    <w:rsid w:val="009506B6"/>
    <w:rsid w:val="009523DA"/>
    <w:rsid w:val="00952A38"/>
    <w:rsid w:val="00952CA7"/>
    <w:rsid w:val="00953190"/>
    <w:rsid w:val="0095337F"/>
    <w:rsid w:val="00953C2E"/>
    <w:rsid w:val="00953DBA"/>
    <w:rsid w:val="00954443"/>
    <w:rsid w:val="009546FE"/>
    <w:rsid w:val="00956213"/>
    <w:rsid w:val="00956CE0"/>
    <w:rsid w:val="0096018D"/>
    <w:rsid w:val="00960708"/>
    <w:rsid w:val="00960751"/>
    <w:rsid w:val="00960A3C"/>
    <w:rsid w:val="00960F31"/>
    <w:rsid w:val="00961162"/>
    <w:rsid w:val="00964419"/>
    <w:rsid w:val="009645E3"/>
    <w:rsid w:val="009649C3"/>
    <w:rsid w:val="009650BD"/>
    <w:rsid w:val="009652D1"/>
    <w:rsid w:val="0096530D"/>
    <w:rsid w:val="00965B37"/>
    <w:rsid w:val="00966153"/>
    <w:rsid w:val="00966BC4"/>
    <w:rsid w:val="00966C78"/>
    <w:rsid w:val="00967E1B"/>
    <w:rsid w:val="00967E46"/>
    <w:rsid w:val="00970662"/>
    <w:rsid w:val="00970DEB"/>
    <w:rsid w:val="00971782"/>
    <w:rsid w:val="009756B0"/>
    <w:rsid w:val="009760AF"/>
    <w:rsid w:val="009765C7"/>
    <w:rsid w:val="00977F42"/>
    <w:rsid w:val="00980617"/>
    <w:rsid w:val="00980D7F"/>
    <w:rsid w:val="00982A03"/>
    <w:rsid w:val="00982CE9"/>
    <w:rsid w:val="009836C7"/>
    <w:rsid w:val="0098473E"/>
    <w:rsid w:val="009847D6"/>
    <w:rsid w:val="00986CBC"/>
    <w:rsid w:val="00986D8D"/>
    <w:rsid w:val="00991D53"/>
    <w:rsid w:val="00991DA0"/>
    <w:rsid w:val="00992452"/>
    <w:rsid w:val="00992B0E"/>
    <w:rsid w:val="0099444C"/>
    <w:rsid w:val="00994472"/>
    <w:rsid w:val="009949A7"/>
    <w:rsid w:val="00994D86"/>
    <w:rsid w:val="0099721C"/>
    <w:rsid w:val="009977A8"/>
    <w:rsid w:val="009A0844"/>
    <w:rsid w:val="009A1581"/>
    <w:rsid w:val="009A1C98"/>
    <w:rsid w:val="009A226B"/>
    <w:rsid w:val="009A2476"/>
    <w:rsid w:val="009A30DF"/>
    <w:rsid w:val="009A3280"/>
    <w:rsid w:val="009A3DA5"/>
    <w:rsid w:val="009A5319"/>
    <w:rsid w:val="009A574A"/>
    <w:rsid w:val="009A5C08"/>
    <w:rsid w:val="009A5C64"/>
    <w:rsid w:val="009A61FF"/>
    <w:rsid w:val="009A6A28"/>
    <w:rsid w:val="009A70D3"/>
    <w:rsid w:val="009A76E8"/>
    <w:rsid w:val="009B04B5"/>
    <w:rsid w:val="009B0B0C"/>
    <w:rsid w:val="009B1242"/>
    <w:rsid w:val="009B2FD5"/>
    <w:rsid w:val="009B3232"/>
    <w:rsid w:val="009B3428"/>
    <w:rsid w:val="009B493D"/>
    <w:rsid w:val="009B5B58"/>
    <w:rsid w:val="009B6F07"/>
    <w:rsid w:val="009B7E42"/>
    <w:rsid w:val="009C016C"/>
    <w:rsid w:val="009C036A"/>
    <w:rsid w:val="009C0B0D"/>
    <w:rsid w:val="009C1356"/>
    <w:rsid w:val="009C181A"/>
    <w:rsid w:val="009C1890"/>
    <w:rsid w:val="009C1C77"/>
    <w:rsid w:val="009C24D8"/>
    <w:rsid w:val="009C34EF"/>
    <w:rsid w:val="009C428F"/>
    <w:rsid w:val="009C50B2"/>
    <w:rsid w:val="009C7020"/>
    <w:rsid w:val="009C718A"/>
    <w:rsid w:val="009C7344"/>
    <w:rsid w:val="009D14E0"/>
    <w:rsid w:val="009D1ACD"/>
    <w:rsid w:val="009D2BE9"/>
    <w:rsid w:val="009D4223"/>
    <w:rsid w:val="009D6390"/>
    <w:rsid w:val="009D6972"/>
    <w:rsid w:val="009D70D1"/>
    <w:rsid w:val="009D73C1"/>
    <w:rsid w:val="009E027A"/>
    <w:rsid w:val="009E3472"/>
    <w:rsid w:val="009E34F4"/>
    <w:rsid w:val="009E3AD4"/>
    <w:rsid w:val="009E4483"/>
    <w:rsid w:val="009E4532"/>
    <w:rsid w:val="009E59B7"/>
    <w:rsid w:val="009E5E1E"/>
    <w:rsid w:val="009F12B9"/>
    <w:rsid w:val="009F165C"/>
    <w:rsid w:val="009F1EE8"/>
    <w:rsid w:val="009F2E8F"/>
    <w:rsid w:val="009F34C1"/>
    <w:rsid w:val="009F3F7F"/>
    <w:rsid w:val="009F4120"/>
    <w:rsid w:val="009F496E"/>
    <w:rsid w:val="009F4AE8"/>
    <w:rsid w:val="009F4C13"/>
    <w:rsid w:val="009F4E94"/>
    <w:rsid w:val="009F4F08"/>
    <w:rsid w:val="009F50B7"/>
    <w:rsid w:val="009F5B36"/>
    <w:rsid w:val="009F6514"/>
    <w:rsid w:val="009F6C71"/>
    <w:rsid w:val="009F7CD5"/>
    <w:rsid w:val="009F7DE1"/>
    <w:rsid w:val="00A01479"/>
    <w:rsid w:val="00A02DB4"/>
    <w:rsid w:val="00A03279"/>
    <w:rsid w:val="00A032B1"/>
    <w:rsid w:val="00A033D4"/>
    <w:rsid w:val="00A038AD"/>
    <w:rsid w:val="00A045F2"/>
    <w:rsid w:val="00A04FD1"/>
    <w:rsid w:val="00A05D9F"/>
    <w:rsid w:val="00A06C65"/>
    <w:rsid w:val="00A12F74"/>
    <w:rsid w:val="00A15335"/>
    <w:rsid w:val="00A1537F"/>
    <w:rsid w:val="00A15E59"/>
    <w:rsid w:val="00A166BE"/>
    <w:rsid w:val="00A16B6B"/>
    <w:rsid w:val="00A173B3"/>
    <w:rsid w:val="00A174E6"/>
    <w:rsid w:val="00A17B3C"/>
    <w:rsid w:val="00A21931"/>
    <w:rsid w:val="00A22E44"/>
    <w:rsid w:val="00A23CAE"/>
    <w:rsid w:val="00A254D9"/>
    <w:rsid w:val="00A26252"/>
    <w:rsid w:val="00A266DC"/>
    <w:rsid w:val="00A306B6"/>
    <w:rsid w:val="00A3165A"/>
    <w:rsid w:val="00A32400"/>
    <w:rsid w:val="00A3255F"/>
    <w:rsid w:val="00A325FA"/>
    <w:rsid w:val="00A32FB2"/>
    <w:rsid w:val="00A33233"/>
    <w:rsid w:val="00A33433"/>
    <w:rsid w:val="00A33E98"/>
    <w:rsid w:val="00A353F9"/>
    <w:rsid w:val="00A35FB4"/>
    <w:rsid w:val="00A363EB"/>
    <w:rsid w:val="00A403A3"/>
    <w:rsid w:val="00A40BA5"/>
    <w:rsid w:val="00A417E7"/>
    <w:rsid w:val="00A4262B"/>
    <w:rsid w:val="00A433C4"/>
    <w:rsid w:val="00A438E8"/>
    <w:rsid w:val="00A43AC4"/>
    <w:rsid w:val="00A4423F"/>
    <w:rsid w:val="00A447A0"/>
    <w:rsid w:val="00A44931"/>
    <w:rsid w:val="00A44EDA"/>
    <w:rsid w:val="00A44F95"/>
    <w:rsid w:val="00A5290A"/>
    <w:rsid w:val="00A54EE6"/>
    <w:rsid w:val="00A5522E"/>
    <w:rsid w:val="00A569BC"/>
    <w:rsid w:val="00A6052C"/>
    <w:rsid w:val="00A60FF2"/>
    <w:rsid w:val="00A617DA"/>
    <w:rsid w:val="00A626ED"/>
    <w:rsid w:val="00A62B86"/>
    <w:rsid w:val="00A64172"/>
    <w:rsid w:val="00A66824"/>
    <w:rsid w:val="00A671EC"/>
    <w:rsid w:val="00A67255"/>
    <w:rsid w:val="00A673A3"/>
    <w:rsid w:val="00A67AF9"/>
    <w:rsid w:val="00A746CD"/>
    <w:rsid w:val="00A749AE"/>
    <w:rsid w:val="00A74E00"/>
    <w:rsid w:val="00A74E3F"/>
    <w:rsid w:val="00A76DF2"/>
    <w:rsid w:val="00A77161"/>
    <w:rsid w:val="00A7794E"/>
    <w:rsid w:val="00A7796E"/>
    <w:rsid w:val="00A82BB6"/>
    <w:rsid w:val="00A83499"/>
    <w:rsid w:val="00A845F9"/>
    <w:rsid w:val="00A847EE"/>
    <w:rsid w:val="00A8662D"/>
    <w:rsid w:val="00A86A7B"/>
    <w:rsid w:val="00A86B37"/>
    <w:rsid w:val="00A86E71"/>
    <w:rsid w:val="00A873F9"/>
    <w:rsid w:val="00A874FB"/>
    <w:rsid w:val="00A87649"/>
    <w:rsid w:val="00A876C7"/>
    <w:rsid w:val="00A877A7"/>
    <w:rsid w:val="00A90870"/>
    <w:rsid w:val="00A91DB2"/>
    <w:rsid w:val="00A91F29"/>
    <w:rsid w:val="00A921F9"/>
    <w:rsid w:val="00A92496"/>
    <w:rsid w:val="00A92CA1"/>
    <w:rsid w:val="00A92FB9"/>
    <w:rsid w:val="00A945C9"/>
    <w:rsid w:val="00A948AA"/>
    <w:rsid w:val="00A948EE"/>
    <w:rsid w:val="00A94B4A"/>
    <w:rsid w:val="00A95878"/>
    <w:rsid w:val="00A962CB"/>
    <w:rsid w:val="00A96371"/>
    <w:rsid w:val="00A97507"/>
    <w:rsid w:val="00A97867"/>
    <w:rsid w:val="00AA0104"/>
    <w:rsid w:val="00AA1CE9"/>
    <w:rsid w:val="00AA211C"/>
    <w:rsid w:val="00AA24E0"/>
    <w:rsid w:val="00AA2CF1"/>
    <w:rsid w:val="00AA2E79"/>
    <w:rsid w:val="00AA40B7"/>
    <w:rsid w:val="00AA621B"/>
    <w:rsid w:val="00AA6D8D"/>
    <w:rsid w:val="00AA7458"/>
    <w:rsid w:val="00AA7A75"/>
    <w:rsid w:val="00AB0192"/>
    <w:rsid w:val="00AB186A"/>
    <w:rsid w:val="00AB2612"/>
    <w:rsid w:val="00AB4071"/>
    <w:rsid w:val="00AB42CA"/>
    <w:rsid w:val="00AB490C"/>
    <w:rsid w:val="00AB4F3D"/>
    <w:rsid w:val="00AB614D"/>
    <w:rsid w:val="00AB689F"/>
    <w:rsid w:val="00AC0E34"/>
    <w:rsid w:val="00AC2F7D"/>
    <w:rsid w:val="00AC3371"/>
    <w:rsid w:val="00AC398E"/>
    <w:rsid w:val="00AC3BBF"/>
    <w:rsid w:val="00AC3DB0"/>
    <w:rsid w:val="00AC511E"/>
    <w:rsid w:val="00AC597E"/>
    <w:rsid w:val="00AC6201"/>
    <w:rsid w:val="00AC6514"/>
    <w:rsid w:val="00AC6951"/>
    <w:rsid w:val="00AD0A5E"/>
    <w:rsid w:val="00AD0CC0"/>
    <w:rsid w:val="00AD1D58"/>
    <w:rsid w:val="00AD22DE"/>
    <w:rsid w:val="00AD3656"/>
    <w:rsid w:val="00AD377A"/>
    <w:rsid w:val="00AD3BA4"/>
    <w:rsid w:val="00AD4139"/>
    <w:rsid w:val="00AD5219"/>
    <w:rsid w:val="00AD5C25"/>
    <w:rsid w:val="00AD5FF5"/>
    <w:rsid w:val="00AD61E3"/>
    <w:rsid w:val="00AD7C5F"/>
    <w:rsid w:val="00AD7E2E"/>
    <w:rsid w:val="00AE1207"/>
    <w:rsid w:val="00AE28A9"/>
    <w:rsid w:val="00AE3144"/>
    <w:rsid w:val="00AE31C4"/>
    <w:rsid w:val="00AE320F"/>
    <w:rsid w:val="00AE3D95"/>
    <w:rsid w:val="00AE4046"/>
    <w:rsid w:val="00AE43A0"/>
    <w:rsid w:val="00AE4893"/>
    <w:rsid w:val="00AE5203"/>
    <w:rsid w:val="00AE5E7F"/>
    <w:rsid w:val="00AE5FE9"/>
    <w:rsid w:val="00AE6B7F"/>
    <w:rsid w:val="00AE7381"/>
    <w:rsid w:val="00AE7618"/>
    <w:rsid w:val="00AF00A3"/>
    <w:rsid w:val="00AF0F65"/>
    <w:rsid w:val="00AF35A9"/>
    <w:rsid w:val="00AF35F1"/>
    <w:rsid w:val="00AF431A"/>
    <w:rsid w:val="00AF4A93"/>
    <w:rsid w:val="00AF4C01"/>
    <w:rsid w:val="00AF6577"/>
    <w:rsid w:val="00AF6C0F"/>
    <w:rsid w:val="00AF7193"/>
    <w:rsid w:val="00AF7663"/>
    <w:rsid w:val="00AF789D"/>
    <w:rsid w:val="00AF7F0A"/>
    <w:rsid w:val="00B0051B"/>
    <w:rsid w:val="00B03D90"/>
    <w:rsid w:val="00B04CEA"/>
    <w:rsid w:val="00B060D6"/>
    <w:rsid w:val="00B0630F"/>
    <w:rsid w:val="00B063B3"/>
    <w:rsid w:val="00B06518"/>
    <w:rsid w:val="00B069B4"/>
    <w:rsid w:val="00B06E7B"/>
    <w:rsid w:val="00B070FC"/>
    <w:rsid w:val="00B07DFF"/>
    <w:rsid w:val="00B10041"/>
    <w:rsid w:val="00B10284"/>
    <w:rsid w:val="00B1124D"/>
    <w:rsid w:val="00B131C8"/>
    <w:rsid w:val="00B13575"/>
    <w:rsid w:val="00B13E40"/>
    <w:rsid w:val="00B147C0"/>
    <w:rsid w:val="00B15883"/>
    <w:rsid w:val="00B15CCF"/>
    <w:rsid w:val="00B15DEF"/>
    <w:rsid w:val="00B16581"/>
    <w:rsid w:val="00B16645"/>
    <w:rsid w:val="00B16AB6"/>
    <w:rsid w:val="00B178EB"/>
    <w:rsid w:val="00B17E5B"/>
    <w:rsid w:val="00B2086F"/>
    <w:rsid w:val="00B20D40"/>
    <w:rsid w:val="00B21096"/>
    <w:rsid w:val="00B21459"/>
    <w:rsid w:val="00B21B80"/>
    <w:rsid w:val="00B22EB0"/>
    <w:rsid w:val="00B23949"/>
    <w:rsid w:val="00B25625"/>
    <w:rsid w:val="00B25FC7"/>
    <w:rsid w:val="00B30338"/>
    <w:rsid w:val="00B317EF"/>
    <w:rsid w:val="00B3313E"/>
    <w:rsid w:val="00B33340"/>
    <w:rsid w:val="00B3388F"/>
    <w:rsid w:val="00B342D1"/>
    <w:rsid w:val="00B342EB"/>
    <w:rsid w:val="00B34DB0"/>
    <w:rsid w:val="00B359D8"/>
    <w:rsid w:val="00B3638A"/>
    <w:rsid w:val="00B36919"/>
    <w:rsid w:val="00B41136"/>
    <w:rsid w:val="00B4130D"/>
    <w:rsid w:val="00B43000"/>
    <w:rsid w:val="00B43848"/>
    <w:rsid w:val="00B43C18"/>
    <w:rsid w:val="00B43F52"/>
    <w:rsid w:val="00B44D2B"/>
    <w:rsid w:val="00B44DD1"/>
    <w:rsid w:val="00B457CF"/>
    <w:rsid w:val="00B46760"/>
    <w:rsid w:val="00B46966"/>
    <w:rsid w:val="00B469C3"/>
    <w:rsid w:val="00B46FDD"/>
    <w:rsid w:val="00B50394"/>
    <w:rsid w:val="00B50F02"/>
    <w:rsid w:val="00B51B47"/>
    <w:rsid w:val="00B528CE"/>
    <w:rsid w:val="00B52AB5"/>
    <w:rsid w:val="00B52F32"/>
    <w:rsid w:val="00B5313A"/>
    <w:rsid w:val="00B531C7"/>
    <w:rsid w:val="00B544AD"/>
    <w:rsid w:val="00B549F2"/>
    <w:rsid w:val="00B54C59"/>
    <w:rsid w:val="00B60CAD"/>
    <w:rsid w:val="00B60CDC"/>
    <w:rsid w:val="00B62961"/>
    <w:rsid w:val="00B62DFA"/>
    <w:rsid w:val="00B63018"/>
    <w:rsid w:val="00B6361C"/>
    <w:rsid w:val="00B636F8"/>
    <w:rsid w:val="00B64457"/>
    <w:rsid w:val="00B646A4"/>
    <w:rsid w:val="00B6509F"/>
    <w:rsid w:val="00B65433"/>
    <w:rsid w:val="00B667BC"/>
    <w:rsid w:val="00B673A2"/>
    <w:rsid w:val="00B67A7F"/>
    <w:rsid w:val="00B70FDC"/>
    <w:rsid w:val="00B7141C"/>
    <w:rsid w:val="00B725D9"/>
    <w:rsid w:val="00B73539"/>
    <w:rsid w:val="00B74009"/>
    <w:rsid w:val="00B77406"/>
    <w:rsid w:val="00B80DFA"/>
    <w:rsid w:val="00B823D8"/>
    <w:rsid w:val="00B82CA0"/>
    <w:rsid w:val="00B84BCF"/>
    <w:rsid w:val="00B85CD3"/>
    <w:rsid w:val="00B85E59"/>
    <w:rsid w:val="00B8616A"/>
    <w:rsid w:val="00B869B5"/>
    <w:rsid w:val="00B87822"/>
    <w:rsid w:val="00B9195B"/>
    <w:rsid w:val="00B92D81"/>
    <w:rsid w:val="00B94252"/>
    <w:rsid w:val="00B9488C"/>
    <w:rsid w:val="00B94A7D"/>
    <w:rsid w:val="00B94D0F"/>
    <w:rsid w:val="00B95278"/>
    <w:rsid w:val="00B9583D"/>
    <w:rsid w:val="00B9586F"/>
    <w:rsid w:val="00B96857"/>
    <w:rsid w:val="00B96FD6"/>
    <w:rsid w:val="00BA252A"/>
    <w:rsid w:val="00BA52F4"/>
    <w:rsid w:val="00BA5E30"/>
    <w:rsid w:val="00BA7335"/>
    <w:rsid w:val="00BA77DB"/>
    <w:rsid w:val="00BB06AE"/>
    <w:rsid w:val="00BB159F"/>
    <w:rsid w:val="00BB1CFB"/>
    <w:rsid w:val="00BB2A0C"/>
    <w:rsid w:val="00BB2A7E"/>
    <w:rsid w:val="00BB2E10"/>
    <w:rsid w:val="00BB3CBD"/>
    <w:rsid w:val="00BB40A3"/>
    <w:rsid w:val="00BB4176"/>
    <w:rsid w:val="00BB48D6"/>
    <w:rsid w:val="00BB4936"/>
    <w:rsid w:val="00BB4D8F"/>
    <w:rsid w:val="00BB6607"/>
    <w:rsid w:val="00BC01A7"/>
    <w:rsid w:val="00BC03F5"/>
    <w:rsid w:val="00BC14BA"/>
    <w:rsid w:val="00BC1B16"/>
    <w:rsid w:val="00BC1B8B"/>
    <w:rsid w:val="00BC1D8D"/>
    <w:rsid w:val="00BC27AA"/>
    <w:rsid w:val="00BC6020"/>
    <w:rsid w:val="00BC76E0"/>
    <w:rsid w:val="00BC7DC1"/>
    <w:rsid w:val="00BC7E58"/>
    <w:rsid w:val="00BD092D"/>
    <w:rsid w:val="00BD0A90"/>
    <w:rsid w:val="00BD1863"/>
    <w:rsid w:val="00BD1A4C"/>
    <w:rsid w:val="00BD235E"/>
    <w:rsid w:val="00BD243E"/>
    <w:rsid w:val="00BD2A58"/>
    <w:rsid w:val="00BD348D"/>
    <w:rsid w:val="00BD4031"/>
    <w:rsid w:val="00BD449B"/>
    <w:rsid w:val="00BD4872"/>
    <w:rsid w:val="00BD4897"/>
    <w:rsid w:val="00BD4C86"/>
    <w:rsid w:val="00BD5D3C"/>
    <w:rsid w:val="00BD65A1"/>
    <w:rsid w:val="00BD6A77"/>
    <w:rsid w:val="00BE144F"/>
    <w:rsid w:val="00BE21BA"/>
    <w:rsid w:val="00BE27C4"/>
    <w:rsid w:val="00BE286F"/>
    <w:rsid w:val="00BE2A21"/>
    <w:rsid w:val="00BE416C"/>
    <w:rsid w:val="00BE4F76"/>
    <w:rsid w:val="00BE7A7F"/>
    <w:rsid w:val="00BF0031"/>
    <w:rsid w:val="00BF019C"/>
    <w:rsid w:val="00BF26B1"/>
    <w:rsid w:val="00BF27A2"/>
    <w:rsid w:val="00BF2DF0"/>
    <w:rsid w:val="00BF45AA"/>
    <w:rsid w:val="00BF49A8"/>
    <w:rsid w:val="00BF5402"/>
    <w:rsid w:val="00BF6389"/>
    <w:rsid w:val="00BF6C5D"/>
    <w:rsid w:val="00BF6DA3"/>
    <w:rsid w:val="00BF76EA"/>
    <w:rsid w:val="00C00041"/>
    <w:rsid w:val="00C00730"/>
    <w:rsid w:val="00C01F2E"/>
    <w:rsid w:val="00C02555"/>
    <w:rsid w:val="00C02BEC"/>
    <w:rsid w:val="00C03A4E"/>
    <w:rsid w:val="00C03DB3"/>
    <w:rsid w:val="00C04A48"/>
    <w:rsid w:val="00C06120"/>
    <w:rsid w:val="00C06A09"/>
    <w:rsid w:val="00C070CB"/>
    <w:rsid w:val="00C10884"/>
    <w:rsid w:val="00C10E02"/>
    <w:rsid w:val="00C10E73"/>
    <w:rsid w:val="00C1145A"/>
    <w:rsid w:val="00C11A27"/>
    <w:rsid w:val="00C11DA7"/>
    <w:rsid w:val="00C12366"/>
    <w:rsid w:val="00C124C2"/>
    <w:rsid w:val="00C12672"/>
    <w:rsid w:val="00C12840"/>
    <w:rsid w:val="00C13591"/>
    <w:rsid w:val="00C1382B"/>
    <w:rsid w:val="00C13C3E"/>
    <w:rsid w:val="00C140A4"/>
    <w:rsid w:val="00C14483"/>
    <w:rsid w:val="00C146D8"/>
    <w:rsid w:val="00C14E6B"/>
    <w:rsid w:val="00C17245"/>
    <w:rsid w:val="00C208AE"/>
    <w:rsid w:val="00C21418"/>
    <w:rsid w:val="00C21D55"/>
    <w:rsid w:val="00C22B81"/>
    <w:rsid w:val="00C23172"/>
    <w:rsid w:val="00C234C7"/>
    <w:rsid w:val="00C2377D"/>
    <w:rsid w:val="00C243A1"/>
    <w:rsid w:val="00C25D07"/>
    <w:rsid w:val="00C25F46"/>
    <w:rsid w:val="00C260BF"/>
    <w:rsid w:val="00C26EC0"/>
    <w:rsid w:val="00C2701F"/>
    <w:rsid w:val="00C272B5"/>
    <w:rsid w:val="00C307D8"/>
    <w:rsid w:val="00C32E28"/>
    <w:rsid w:val="00C33678"/>
    <w:rsid w:val="00C33E6E"/>
    <w:rsid w:val="00C36464"/>
    <w:rsid w:val="00C3747A"/>
    <w:rsid w:val="00C40748"/>
    <w:rsid w:val="00C412CE"/>
    <w:rsid w:val="00C41687"/>
    <w:rsid w:val="00C41858"/>
    <w:rsid w:val="00C424B4"/>
    <w:rsid w:val="00C4253D"/>
    <w:rsid w:val="00C42EF8"/>
    <w:rsid w:val="00C43EBB"/>
    <w:rsid w:val="00C466FC"/>
    <w:rsid w:val="00C47046"/>
    <w:rsid w:val="00C471AB"/>
    <w:rsid w:val="00C47348"/>
    <w:rsid w:val="00C50733"/>
    <w:rsid w:val="00C51129"/>
    <w:rsid w:val="00C51407"/>
    <w:rsid w:val="00C515D8"/>
    <w:rsid w:val="00C5254C"/>
    <w:rsid w:val="00C52CB5"/>
    <w:rsid w:val="00C54B48"/>
    <w:rsid w:val="00C5503D"/>
    <w:rsid w:val="00C55472"/>
    <w:rsid w:val="00C55DD5"/>
    <w:rsid w:val="00C55F6F"/>
    <w:rsid w:val="00C5605A"/>
    <w:rsid w:val="00C56309"/>
    <w:rsid w:val="00C569BF"/>
    <w:rsid w:val="00C56A92"/>
    <w:rsid w:val="00C60A64"/>
    <w:rsid w:val="00C60CA7"/>
    <w:rsid w:val="00C61031"/>
    <w:rsid w:val="00C627D9"/>
    <w:rsid w:val="00C62B37"/>
    <w:rsid w:val="00C644CD"/>
    <w:rsid w:val="00C6493C"/>
    <w:rsid w:val="00C6498F"/>
    <w:rsid w:val="00C649F3"/>
    <w:rsid w:val="00C6537E"/>
    <w:rsid w:val="00C65C4D"/>
    <w:rsid w:val="00C65D60"/>
    <w:rsid w:val="00C65D6E"/>
    <w:rsid w:val="00C66FE0"/>
    <w:rsid w:val="00C67516"/>
    <w:rsid w:val="00C67564"/>
    <w:rsid w:val="00C6772D"/>
    <w:rsid w:val="00C67D38"/>
    <w:rsid w:val="00C70510"/>
    <w:rsid w:val="00C70512"/>
    <w:rsid w:val="00C70515"/>
    <w:rsid w:val="00C722FB"/>
    <w:rsid w:val="00C72759"/>
    <w:rsid w:val="00C73D37"/>
    <w:rsid w:val="00C73E7E"/>
    <w:rsid w:val="00C742A9"/>
    <w:rsid w:val="00C746F0"/>
    <w:rsid w:val="00C74848"/>
    <w:rsid w:val="00C74DEE"/>
    <w:rsid w:val="00C76605"/>
    <w:rsid w:val="00C76E30"/>
    <w:rsid w:val="00C77CE6"/>
    <w:rsid w:val="00C80773"/>
    <w:rsid w:val="00C810DC"/>
    <w:rsid w:val="00C8174A"/>
    <w:rsid w:val="00C818AE"/>
    <w:rsid w:val="00C829B8"/>
    <w:rsid w:val="00C82A2C"/>
    <w:rsid w:val="00C82B0B"/>
    <w:rsid w:val="00C832C9"/>
    <w:rsid w:val="00C83A05"/>
    <w:rsid w:val="00C83D9C"/>
    <w:rsid w:val="00C84253"/>
    <w:rsid w:val="00C845B9"/>
    <w:rsid w:val="00C845D9"/>
    <w:rsid w:val="00C8487E"/>
    <w:rsid w:val="00C84D98"/>
    <w:rsid w:val="00C86D39"/>
    <w:rsid w:val="00C86F06"/>
    <w:rsid w:val="00C87A34"/>
    <w:rsid w:val="00C87A53"/>
    <w:rsid w:val="00C91472"/>
    <w:rsid w:val="00C92A62"/>
    <w:rsid w:val="00C92C6D"/>
    <w:rsid w:val="00C9303D"/>
    <w:rsid w:val="00C939B2"/>
    <w:rsid w:val="00C9426D"/>
    <w:rsid w:val="00C9545E"/>
    <w:rsid w:val="00C9616D"/>
    <w:rsid w:val="00C97279"/>
    <w:rsid w:val="00C97484"/>
    <w:rsid w:val="00C97DC5"/>
    <w:rsid w:val="00CA00ED"/>
    <w:rsid w:val="00CA02F2"/>
    <w:rsid w:val="00CA0434"/>
    <w:rsid w:val="00CA0748"/>
    <w:rsid w:val="00CA0CD0"/>
    <w:rsid w:val="00CA14B8"/>
    <w:rsid w:val="00CA14C8"/>
    <w:rsid w:val="00CA252B"/>
    <w:rsid w:val="00CA2B14"/>
    <w:rsid w:val="00CA2EBA"/>
    <w:rsid w:val="00CA6C6F"/>
    <w:rsid w:val="00CA6ED7"/>
    <w:rsid w:val="00CA7F08"/>
    <w:rsid w:val="00CB06C1"/>
    <w:rsid w:val="00CB0AC5"/>
    <w:rsid w:val="00CB1229"/>
    <w:rsid w:val="00CB14AC"/>
    <w:rsid w:val="00CB1CA8"/>
    <w:rsid w:val="00CB2407"/>
    <w:rsid w:val="00CB28F6"/>
    <w:rsid w:val="00CB2EF9"/>
    <w:rsid w:val="00CB33C4"/>
    <w:rsid w:val="00CB54F0"/>
    <w:rsid w:val="00CB59AA"/>
    <w:rsid w:val="00CB5EB6"/>
    <w:rsid w:val="00CB6252"/>
    <w:rsid w:val="00CB6C9A"/>
    <w:rsid w:val="00CB6DD7"/>
    <w:rsid w:val="00CB70A8"/>
    <w:rsid w:val="00CB7649"/>
    <w:rsid w:val="00CC059A"/>
    <w:rsid w:val="00CC0D63"/>
    <w:rsid w:val="00CC108E"/>
    <w:rsid w:val="00CC4700"/>
    <w:rsid w:val="00CC5873"/>
    <w:rsid w:val="00CC5B3C"/>
    <w:rsid w:val="00CC6559"/>
    <w:rsid w:val="00CC6A9D"/>
    <w:rsid w:val="00CC7A9F"/>
    <w:rsid w:val="00CD122E"/>
    <w:rsid w:val="00CD28A5"/>
    <w:rsid w:val="00CD3A19"/>
    <w:rsid w:val="00CD3E83"/>
    <w:rsid w:val="00CD7585"/>
    <w:rsid w:val="00CD7F97"/>
    <w:rsid w:val="00CE074D"/>
    <w:rsid w:val="00CE089A"/>
    <w:rsid w:val="00CE172C"/>
    <w:rsid w:val="00CE1FBD"/>
    <w:rsid w:val="00CE208F"/>
    <w:rsid w:val="00CE24AC"/>
    <w:rsid w:val="00CE2DA8"/>
    <w:rsid w:val="00CE36EC"/>
    <w:rsid w:val="00CE50D7"/>
    <w:rsid w:val="00CE5C32"/>
    <w:rsid w:val="00CE63C6"/>
    <w:rsid w:val="00CE76B8"/>
    <w:rsid w:val="00CE7811"/>
    <w:rsid w:val="00CF0506"/>
    <w:rsid w:val="00CF2383"/>
    <w:rsid w:val="00CF4528"/>
    <w:rsid w:val="00CF59B5"/>
    <w:rsid w:val="00CF5E60"/>
    <w:rsid w:val="00CF733C"/>
    <w:rsid w:val="00D009D6"/>
    <w:rsid w:val="00D00E5C"/>
    <w:rsid w:val="00D029CE"/>
    <w:rsid w:val="00D02C38"/>
    <w:rsid w:val="00D03747"/>
    <w:rsid w:val="00D038D4"/>
    <w:rsid w:val="00D0408D"/>
    <w:rsid w:val="00D06EBC"/>
    <w:rsid w:val="00D07515"/>
    <w:rsid w:val="00D076A4"/>
    <w:rsid w:val="00D076F9"/>
    <w:rsid w:val="00D07EB7"/>
    <w:rsid w:val="00D07F2B"/>
    <w:rsid w:val="00D10285"/>
    <w:rsid w:val="00D10BB3"/>
    <w:rsid w:val="00D10F87"/>
    <w:rsid w:val="00D11370"/>
    <w:rsid w:val="00D12EFB"/>
    <w:rsid w:val="00D135FD"/>
    <w:rsid w:val="00D14C83"/>
    <w:rsid w:val="00D14FB5"/>
    <w:rsid w:val="00D16693"/>
    <w:rsid w:val="00D16A1A"/>
    <w:rsid w:val="00D16E7A"/>
    <w:rsid w:val="00D17524"/>
    <w:rsid w:val="00D17541"/>
    <w:rsid w:val="00D17896"/>
    <w:rsid w:val="00D178EF"/>
    <w:rsid w:val="00D17AB2"/>
    <w:rsid w:val="00D20406"/>
    <w:rsid w:val="00D204F1"/>
    <w:rsid w:val="00D20684"/>
    <w:rsid w:val="00D20F57"/>
    <w:rsid w:val="00D21660"/>
    <w:rsid w:val="00D224D9"/>
    <w:rsid w:val="00D22DE7"/>
    <w:rsid w:val="00D23B55"/>
    <w:rsid w:val="00D23B6E"/>
    <w:rsid w:val="00D23D73"/>
    <w:rsid w:val="00D24359"/>
    <w:rsid w:val="00D2485E"/>
    <w:rsid w:val="00D24B9F"/>
    <w:rsid w:val="00D250AD"/>
    <w:rsid w:val="00D25F81"/>
    <w:rsid w:val="00D2638E"/>
    <w:rsid w:val="00D277F9"/>
    <w:rsid w:val="00D30070"/>
    <w:rsid w:val="00D3044E"/>
    <w:rsid w:val="00D31715"/>
    <w:rsid w:val="00D32E3C"/>
    <w:rsid w:val="00D340BF"/>
    <w:rsid w:val="00D354EE"/>
    <w:rsid w:val="00D363EB"/>
    <w:rsid w:val="00D36E66"/>
    <w:rsid w:val="00D36E99"/>
    <w:rsid w:val="00D4080A"/>
    <w:rsid w:val="00D408A9"/>
    <w:rsid w:val="00D40C63"/>
    <w:rsid w:val="00D40E3E"/>
    <w:rsid w:val="00D41515"/>
    <w:rsid w:val="00D42086"/>
    <w:rsid w:val="00D43E1B"/>
    <w:rsid w:val="00D43EE0"/>
    <w:rsid w:val="00D45D9C"/>
    <w:rsid w:val="00D46984"/>
    <w:rsid w:val="00D46D7D"/>
    <w:rsid w:val="00D476AA"/>
    <w:rsid w:val="00D504CC"/>
    <w:rsid w:val="00D50DFC"/>
    <w:rsid w:val="00D52C8D"/>
    <w:rsid w:val="00D531AB"/>
    <w:rsid w:val="00D532ED"/>
    <w:rsid w:val="00D55F31"/>
    <w:rsid w:val="00D56844"/>
    <w:rsid w:val="00D57258"/>
    <w:rsid w:val="00D57364"/>
    <w:rsid w:val="00D61E59"/>
    <w:rsid w:val="00D62FD8"/>
    <w:rsid w:val="00D6389B"/>
    <w:rsid w:val="00D64465"/>
    <w:rsid w:val="00D64582"/>
    <w:rsid w:val="00D6573B"/>
    <w:rsid w:val="00D65C6C"/>
    <w:rsid w:val="00D65E24"/>
    <w:rsid w:val="00D65E5A"/>
    <w:rsid w:val="00D67A0E"/>
    <w:rsid w:val="00D7132A"/>
    <w:rsid w:val="00D714B2"/>
    <w:rsid w:val="00D72186"/>
    <w:rsid w:val="00D7293C"/>
    <w:rsid w:val="00D72C03"/>
    <w:rsid w:val="00D7351F"/>
    <w:rsid w:val="00D73F0C"/>
    <w:rsid w:val="00D74541"/>
    <w:rsid w:val="00D75103"/>
    <w:rsid w:val="00D753E1"/>
    <w:rsid w:val="00D75C7E"/>
    <w:rsid w:val="00D80581"/>
    <w:rsid w:val="00D81B7A"/>
    <w:rsid w:val="00D822B1"/>
    <w:rsid w:val="00D832C2"/>
    <w:rsid w:val="00D8485D"/>
    <w:rsid w:val="00D85F4D"/>
    <w:rsid w:val="00D87E69"/>
    <w:rsid w:val="00D91596"/>
    <w:rsid w:val="00D9175D"/>
    <w:rsid w:val="00D91C0F"/>
    <w:rsid w:val="00D93290"/>
    <w:rsid w:val="00D93662"/>
    <w:rsid w:val="00D94909"/>
    <w:rsid w:val="00D95085"/>
    <w:rsid w:val="00D95691"/>
    <w:rsid w:val="00D95AD4"/>
    <w:rsid w:val="00D95DE6"/>
    <w:rsid w:val="00D96140"/>
    <w:rsid w:val="00D96BB3"/>
    <w:rsid w:val="00D974AF"/>
    <w:rsid w:val="00DA008D"/>
    <w:rsid w:val="00DA3103"/>
    <w:rsid w:val="00DA3466"/>
    <w:rsid w:val="00DA3BDF"/>
    <w:rsid w:val="00DA3E23"/>
    <w:rsid w:val="00DA49B8"/>
    <w:rsid w:val="00DA4D50"/>
    <w:rsid w:val="00DA5012"/>
    <w:rsid w:val="00DA616E"/>
    <w:rsid w:val="00DA7A20"/>
    <w:rsid w:val="00DA7A8C"/>
    <w:rsid w:val="00DB07B6"/>
    <w:rsid w:val="00DB1DC4"/>
    <w:rsid w:val="00DB259E"/>
    <w:rsid w:val="00DB2EF3"/>
    <w:rsid w:val="00DB2F8E"/>
    <w:rsid w:val="00DB3406"/>
    <w:rsid w:val="00DB371C"/>
    <w:rsid w:val="00DB4246"/>
    <w:rsid w:val="00DB44E6"/>
    <w:rsid w:val="00DB5098"/>
    <w:rsid w:val="00DB5E79"/>
    <w:rsid w:val="00DB6CA8"/>
    <w:rsid w:val="00DC0131"/>
    <w:rsid w:val="00DC0210"/>
    <w:rsid w:val="00DC0350"/>
    <w:rsid w:val="00DC0511"/>
    <w:rsid w:val="00DC0720"/>
    <w:rsid w:val="00DC1358"/>
    <w:rsid w:val="00DC2615"/>
    <w:rsid w:val="00DC2649"/>
    <w:rsid w:val="00DC2807"/>
    <w:rsid w:val="00DC2F81"/>
    <w:rsid w:val="00DC3B61"/>
    <w:rsid w:val="00DC43F8"/>
    <w:rsid w:val="00DC4692"/>
    <w:rsid w:val="00DC4A10"/>
    <w:rsid w:val="00DC4CC0"/>
    <w:rsid w:val="00DC5987"/>
    <w:rsid w:val="00DC6FA2"/>
    <w:rsid w:val="00DD020F"/>
    <w:rsid w:val="00DD0466"/>
    <w:rsid w:val="00DD392D"/>
    <w:rsid w:val="00DD4059"/>
    <w:rsid w:val="00DD4954"/>
    <w:rsid w:val="00DD4BC6"/>
    <w:rsid w:val="00DD4EC5"/>
    <w:rsid w:val="00DD5A7F"/>
    <w:rsid w:val="00DD6456"/>
    <w:rsid w:val="00DD654F"/>
    <w:rsid w:val="00DD6E22"/>
    <w:rsid w:val="00DD6EA7"/>
    <w:rsid w:val="00DD70FF"/>
    <w:rsid w:val="00DD7E22"/>
    <w:rsid w:val="00DE06E6"/>
    <w:rsid w:val="00DE0E48"/>
    <w:rsid w:val="00DE19E8"/>
    <w:rsid w:val="00DE208A"/>
    <w:rsid w:val="00DE28DD"/>
    <w:rsid w:val="00DE2B14"/>
    <w:rsid w:val="00DE3885"/>
    <w:rsid w:val="00DE5083"/>
    <w:rsid w:val="00DE5124"/>
    <w:rsid w:val="00DE6237"/>
    <w:rsid w:val="00DE68FC"/>
    <w:rsid w:val="00DF0C16"/>
    <w:rsid w:val="00DF0DB1"/>
    <w:rsid w:val="00DF1EA3"/>
    <w:rsid w:val="00DF3783"/>
    <w:rsid w:val="00DF4345"/>
    <w:rsid w:val="00DF464B"/>
    <w:rsid w:val="00DF4A3E"/>
    <w:rsid w:val="00DF5407"/>
    <w:rsid w:val="00DF5F92"/>
    <w:rsid w:val="00DF62E6"/>
    <w:rsid w:val="00DF6853"/>
    <w:rsid w:val="00DF6E56"/>
    <w:rsid w:val="00E02596"/>
    <w:rsid w:val="00E032B4"/>
    <w:rsid w:val="00E037AA"/>
    <w:rsid w:val="00E0380B"/>
    <w:rsid w:val="00E03AF9"/>
    <w:rsid w:val="00E03D33"/>
    <w:rsid w:val="00E0462A"/>
    <w:rsid w:val="00E05D0C"/>
    <w:rsid w:val="00E061F3"/>
    <w:rsid w:val="00E06691"/>
    <w:rsid w:val="00E06C60"/>
    <w:rsid w:val="00E06D19"/>
    <w:rsid w:val="00E06E27"/>
    <w:rsid w:val="00E10BBE"/>
    <w:rsid w:val="00E10C13"/>
    <w:rsid w:val="00E1170C"/>
    <w:rsid w:val="00E1297C"/>
    <w:rsid w:val="00E13669"/>
    <w:rsid w:val="00E1562A"/>
    <w:rsid w:val="00E16305"/>
    <w:rsid w:val="00E16A13"/>
    <w:rsid w:val="00E17820"/>
    <w:rsid w:val="00E20223"/>
    <w:rsid w:val="00E21554"/>
    <w:rsid w:val="00E2322D"/>
    <w:rsid w:val="00E2575F"/>
    <w:rsid w:val="00E25EAB"/>
    <w:rsid w:val="00E26080"/>
    <w:rsid w:val="00E26AC1"/>
    <w:rsid w:val="00E26CBA"/>
    <w:rsid w:val="00E277A6"/>
    <w:rsid w:val="00E27E14"/>
    <w:rsid w:val="00E30E27"/>
    <w:rsid w:val="00E31CD4"/>
    <w:rsid w:val="00E31D03"/>
    <w:rsid w:val="00E330F9"/>
    <w:rsid w:val="00E333BB"/>
    <w:rsid w:val="00E34431"/>
    <w:rsid w:val="00E3535B"/>
    <w:rsid w:val="00E4065D"/>
    <w:rsid w:val="00E40C8C"/>
    <w:rsid w:val="00E41E13"/>
    <w:rsid w:val="00E43B6C"/>
    <w:rsid w:val="00E4470A"/>
    <w:rsid w:val="00E4509E"/>
    <w:rsid w:val="00E452B3"/>
    <w:rsid w:val="00E50612"/>
    <w:rsid w:val="00E512A9"/>
    <w:rsid w:val="00E5194F"/>
    <w:rsid w:val="00E51B47"/>
    <w:rsid w:val="00E525BC"/>
    <w:rsid w:val="00E5312A"/>
    <w:rsid w:val="00E535FC"/>
    <w:rsid w:val="00E544B0"/>
    <w:rsid w:val="00E54561"/>
    <w:rsid w:val="00E5478E"/>
    <w:rsid w:val="00E54FE7"/>
    <w:rsid w:val="00E556E7"/>
    <w:rsid w:val="00E559F6"/>
    <w:rsid w:val="00E561AC"/>
    <w:rsid w:val="00E56C4D"/>
    <w:rsid w:val="00E57E9C"/>
    <w:rsid w:val="00E607C9"/>
    <w:rsid w:val="00E609C1"/>
    <w:rsid w:val="00E616A4"/>
    <w:rsid w:val="00E61BF6"/>
    <w:rsid w:val="00E62067"/>
    <w:rsid w:val="00E62386"/>
    <w:rsid w:val="00E6289F"/>
    <w:rsid w:val="00E630B8"/>
    <w:rsid w:val="00E6391B"/>
    <w:rsid w:val="00E65449"/>
    <w:rsid w:val="00E659A9"/>
    <w:rsid w:val="00E65B75"/>
    <w:rsid w:val="00E6613E"/>
    <w:rsid w:val="00E67F22"/>
    <w:rsid w:val="00E70DD2"/>
    <w:rsid w:val="00E7104E"/>
    <w:rsid w:val="00E711AD"/>
    <w:rsid w:val="00E73451"/>
    <w:rsid w:val="00E73C66"/>
    <w:rsid w:val="00E74081"/>
    <w:rsid w:val="00E74234"/>
    <w:rsid w:val="00E75075"/>
    <w:rsid w:val="00E75741"/>
    <w:rsid w:val="00E75C85"/>
    <w:rsid w:val="00E76D65"/>
    <w:rsid w:val="00E771FC"/>
    <w:rsid w:val="00E779C5"/>
    <w:rsid w:val="00E77D63"/>
    <w:rsid w:val="00E808B0"/>
    <w:rsid w:val="00E813EB"/>
    <w:rsid w:val="00E81FB4"/>
    <w:rsid w:val="00E830B6"/>
    <w:rsid w:val="00E84492"/>
    <w:rsid w:val="00E84B9A"/>
    <w:rsid w:val="00E855C0"/>
    <w:rsid w:val="00E85743"/>
    <w:rsid w:val="00E86B40"/>
    <w:rsid w:val="00E87278"/>
    <w:rsid w:val="00E87389"/>
    <w:rsid w:val="00E87600"/>
    <w:rsid w:val="00E87644"/>
    <w:rsid w:val="00E87A7C"/>
    <w:rsid w:val="00E87BB2"/>
    <w:rsid w:val="00E90650"/>
    <w:rsid w:val="00E929E0"/>
    <w:rsid w:val="00E92A0E"/>
    <w:rsid w:val="00E92EDA"/>
    <w:rsid w:val="00E92EDB"/>
    <w:rsid w:val="00E9340F"/>
    <w:rsid w:val="00E93748"/>
    <w:rsid w:val="00E93930"/>
    <w:rsid w:val="00E9399A"/>
    <w:rsid w:val="00E93D42"/>
    <w:rsid w:val="00E94B1F"/>
    <w:rsid w:val="00E963C0"/>
    <w:rsid w:val="00E97D51"/>
    <w:rsid w:val="00EA13B6"/>
    <w:rsid w:val="00EA1B45"/>
    <w:rsid w:val="00EA1CF5"/>
    <w:rsid w:val="00EA4001"/>
    <w:rsid w:val="00EA49B6"/>
    <w:rsid w:val="00EA4EAB"/>
    <w:rsid w:val="00EA5B90"/>
    <w:rsid w:val="00EA61F5"/>
    <w:rsid w:val="00EA6BFA"/>
    <w:rsid w:val="00EA70EF"/>
    <w:rsid w:val="00EB0701"/>
    <w:rsid w:val="00EB21BD"/>
    <w:rsid w:val="00EB2653"/>
    <w:rsid w:val="00EB2D7F"/>
    <w:rsid w:val="00EB36EA"/>
    <w:rsid w:val="00EB4150"/>
    <w:rsid w:val="00EB4627"/>
    <w:rsid w:val="00EB4865"/>
    <w:rsid w:val="00EB58D0"/>
    <w:rsid w:val="00EB5A8F"/>
    <w:rsid w:val="00EB5E62"/>
    <w:rsid w:val="00EB6100"/>
    <w:rsid w:val="00EB6678"/>
    <w:rsid w:val="00EB6ADE"/>
    <w:rsid w:val="00EB6E3F"/>
    <w:rsid w:val="00EB78C8"/>
    <w:rsid w:val="00EB7A84"/>
    <w:rsid w:val="00EB7B03"/>
    <w:rsid w:val="00EC0547"/>
    <w:rsid w:val="00EC076E"/>
    <w:rsid w:val="00EC094C"/>
    <w:rsid w:val="00EC2121"/>
    <w:rsid w:val="00EC2189"/>
    <w:rsid w:val="00EC2639"/>
    <w:rsid w:val="00EC32E4"/>
    <w:rsid w:val="00EC33F3"/>
    <w:rsid w:val="00EC4338"/>
    <w:rsid w:val="00EC6CD7"/>
    <w:rsid w:val="00EC7402"/>
    <w:rsid w:val="00ED1536"/>
    <w:rsid w:val="00ED2493"/>
    <w:rsid w:val="00ED2762"/>
    <w:rsid w:val="00ED3091"/>
    <w:rsid w:val="00ED3445"/>
    <w:rsid w:val="00ED3A7A"/>
    <w:rsid w:val="00ED5A25"/>
    <w:rsid w:val="00ED5E37"/>
    <w:rsid w:val="00ED6F56"/>
    <w:rsid w:val="00ED73D6"/>
    <w:rsid w:val="00ED758F"/>
    <w:rsid w:val="00ED799F"/>
    <w:rsid w:val="00EE0281"/>
    <w:rsid w:val="00EE0768"/>
    <w:rsid w:val="00EE271C"/>
    <w:rsid w:val="00EE4675"/>
    <w:rsid w:val="00EE48F6"/>
    <w:rsid w:val="00EE4B0D"/>
    <w:rsid w:val="00EE57BE"/>
    <w:rsid w:val="00EE6121"/>
    <w:rsid w:val="00EE61F5"/>
    <w:rsid w:val="00EE79ED"/>
    <w:rsid w:val="00EE7B14"/>
    <w:rsid w:val="00EF0B1D"/>
    <w:rsid w:val="00EF1038"/>
    <w:rsid w:val="00EF1318"/>
    <w:rsid w:val="00EF2125"/>
    <w:rsid w:val="00EF265C"/>
    <w:rsid w:val="00EF31F7"/>
    <w:rsid w:val="00EF4136"/>
    <w:rsid w:val="00EF46C9"/>
    <w:rsid w:val="00EF50C5"/>
    <w:rsid w:val="00EF65A8"/>
    <w:rsid w:val="00EF6A33"/>
    <w:rsid w:val="00EF6E21"/>
    <w:rsid w:val="00EF74B5"/>
    <w:rsid w:val="00F00074"/>
    <w:rsid w:val="00F01A31"/>
    <w:rsid w:val="00F02C0E"/>
    <w:rsid w:val="00F0314F"/>
    <w:rsid w:val="00F04734"/>
    <w:rsid w:val="00F0512E"/>
    <w:rsid w:val="00F0558C"/>
    <w:rsid w:val="00F05E97"/>
    <w:rsid w:val="00F07B2C"/>
    <w:rsid w:val="00F10AD1"/>
    <w:rsid w:val="00F11A7E"/>
    <w:rsid w:val="00F12FC6"/>
    <w:rsid w:val="00F13FAD"/>
    <w:rsid w:val="00F14CD1"/>
    <w:rsid w:val="00F1529A"/>
    <w:rsid w:val="00F157B2"/>
    <w:rsid w:val="00F16065"/>
    <w:rsid w:val="00F162A4"/>
    <w:rsid w:val="00F166F8"/>
    <w:rsid w:val="00F16C70"/>
    <w:rsid w:val="00F2067F"/>
    <w:rsid w:val="00F2088F"/>
    <w:rsid w:val="00F210B5"/>
    <w:rsid w:val="00F21D51"/>
    <w:rsid w:val="00F222A0"/>
    <w:rsid w:val="00F227D3"/>
    <w:rsid w:val="00F22C7D"/>
    <w:rsid w:val="00F2323A"/>
    <w:rsid w:val="00F23DF6"/>
    <w:rsid w:val="00F250B3"/>
    <w:rsid w:val="00F25343"/>
    <w:rsid w:val="00F25521"/>
    <w:rsid w:val="00F25C49"/>
    <w:rsid w:val="00F269ED"/>
    <w:rsid w:val="00F26C0F"/>
    <w:rsid w:val="00F31647"/>
    <w:rsid w:val="00F33294"/>
    <w:rsid w:val="00F3352E"/>
    <w:rsid w:val="00F35812"/>
    <w:rsid w:val="00F36208"/>
    <w:rsid w:val="00F36A42"/>
    <w:rsid w:val="00F36ACD"/>
    <w:rsid w:val="00F411C3"/>
    <w:rsid w:val="00F41780"/>
    <w:rsid w:val="00F421F0"/>
    <w:rsid w:val="00F42A25"/>
    <w:rsid w:val="00F42CDA"/>
    <w:rsid w:val="00F44D81"/>
    <w:rsid w:val="00F4503A"/>
    <w:rsid w:val="00F451D9"/>
    <w:rsid w:val="00F45394"/>
    <w:rsid w:val="00F471A8"/>
    <w:rsid w:val="00F47523"/>
    <w:rsid w:val="00F47990"/>
    <w:rsid w:val="00F47BA5"/>
    <w:rsid w:val="00F47C07"/>
    <w:rsid w:val="00F47F0A"/>
    <w:rsid w:val="00F518DD"/>
    <w:rsid w:val="00F51B0A"/>
    <w:rsid w:val="00F51E0E"/>
    <w:rsid w:val="00F5327E"/>
    <w:rsid w:val="00F53C07"/>
    <w:rsid w:val="00F53CA5"/>
    <w:rsid w:val="00F55A17"/>
    <w:rsid w:val="00F56191"/>
    <w:rsid w:val="00F57D55"/>
    <w:rsid w:val="00F603FC"/>
    <w:rsid w:val="00F615B0"/>
    <w:rsid w:val="00F61AEB"/>
    <w:rsid w:val="00F63EE8"/>
    <w:rsid w:val="00F644C7"/>
    <w:rsid w:val="00F64E89"/>
    <w:rsid w:val="00F65077"/>
    <w:rsid w:val="00F65818"/>
    <w:rsid w:val="00F716C0"/>
    <w:rsid w:val="00F71715"/>
    <w:rsid w:val="00F71E72"/>
    <w:rsid w:val="00F7272B"/>
    <w:rsid w:val="00F72E0D"/>
    <w:rsid w:val="00F73815"/>
    <w:rsid w:val="00F73822"/>
    <w:rsid w:val="00F73A67"/>
    <w:rsid w:val="00F73FF8"/>
    <w:rsid w:val="00F74B18"/>
    <w:rsid w:val="00F76706"/>
    <w:rsid w:val="00F77117"/>
    <w:rsid w:val="00F777EE"/>
    <w:rsid w:val="00F80030"/>
    <w:rsid w:val="00F8060E"/>
    <w:rsid w:val="00F80BB1"/>
    <w:rsid w:val="00F81DB6"/>
    <w:rsid w:val="00F81E02"/>
    <w:rsid w:val="00F8267B"/>
    <w:rsid w:val="00F832F3"/>
    <w:rsid w:val="00F839E4"/>
    <w:rsid w:val="00F84703"/>
    <w:rsid w:val="00F85B26"/>
    <w:rsid w:val="00F8699B"/>
    <w:rsid w:val="00F86BE7"/>
    <w:rsid w:val="00F87C79"/>
    <w:rsid w:val="00F909CC"/>
    <w:rsid w:val="00F90A15"/>
    <w:rsid w:val="00F91075"/>
    <w:rsid w:val="00F9109A"/>
    <w:rsid w:val="00F91DA8"/>
    <w:rsid w:val="00F93CD0"/>
    <w:rsid w:val="00F94F74"/>
    <w:rsid w:val="00F9564B"/>
    <w:rsid w:val="00F959C7"/>
    <w:rsid w:val="00F9628E"/>
    <w:rsid w:val="00FA0033"/>
    <w:rsid w:val="00FA023A"/>
    <w:rsid w:val="00FA064E"/>
    <w:rsid w:val="00FA0AC6"/>
    <w:rsid w:val="00FA467B"/>
    <w:rsid w:val="00FA4F9F"/>
    <w:rsid w:val="00FA68B8"/>
    <w:rsid w:val="00FA7B08"/>
    <w:rsid w:val="00FA7D24"/>
    <w:rsid w:val="00FB0947"/>
    <w:rsid w:val="00FB0A30"/>
    <w:rsid w:val="00FB1991"/>
    <w:rsid w:val="00FB1F54"/>
    <w:rsid w:val="00FB2C6B"/>
    <w:rsid w:val="00FB30C6"/>
    <w:rsid w:val="00FB5887"/>
    <w:rsid w:val="00FB6A53"/>
    <w:rsid w:val="00FB7719"/>
    <w:rsid w:val="00FB7773"/>
    <w:rsid w:val="00FC0243"/>
    <w:rsid w:val="00FC0826"/>
    <w:rsid w:val="00FC0DC7"/>
    <w:rsid w:val="00FC0E2C"/>
    <w:rsid w:val="00FC1289"/>
    <w:rsid w:val="00FC20AF"/>
    <w:rsid w:val="00FC25AA"/>
    <w:rsid w:val="00FC25EB"/>
    <w:rsid w:val="00FC3A5D"/>
    <w:rsid w:val="00FC3D12"/>
    <w:rsid w:val="00FC3E15"/>
    <w:rsid w:val="00FC4F01"/>
    <w:rsid w:val="00FC70F3"/>
    <w:rsid w:val="00FD026D"/>
    <w:rsid w:val="00FD02E5"/>
    <w:rsid w:val="00FD121B"/>
    <w:rsid w:val="00FD278D"/>
    <w:rsid w:val="00FD2B19"/>
    <w:rsid w:val="00FD332C"/>
    <w:rsid w:val="00FD3EC4"/>
    <w:rsid w:val="00FD445B"/>
    <w:rsid w:val="00FD4809"/>
    <w:rsid w:val="00FD4F96"/>
    <w:rsid w:val="00FD4FFF"/>
    <w:rsid w:val="00FD5340"/>
    <w:rsid w:val="00FD5783"/>
    <w:rsid w:val="00FD5CC4"/>
    <w:rsid w:val="00FD610A"/>
    <w:rsid w:val="00FD6212"/>
    <w:rsid w:val="00FE0E60"/>
    <w:rsid w:val="00FE0F3A"/>
    <w:rsid w:val="00FE41AF"/>
    <w:rsid w:val="00FE56AE"/>
    <w:rsid w:val="00FE56F1"/>
    <w:rsid w:val="00FE5874"/>
    <w:rsid w:val="00FE615C"/>
    <w:rsid w:val="00FE6B78"/>
    <w:rsid w:val="00FE6B85"/>
    <w:rsid w:val="00FE6EFD"/>
    <w:rsid w:val="00FE7196"/>
    <w:rsid w:val="00FE7682"/>
    <w:rsid w:val="00FF07D2"/>
    <w:rsid w:val="00FF092C"/>
    <w:rsid w:val="00FF1230"/>
    <w:rsid w:val="00FF1297"/>
    <w:rsid w:val="00FF56F5"/>
    <w:rsid w:val="00FF60C6"/>
    <w:rsid w:val="00FF69F7"/>
    <w:rsid w:val="00FF6AC2"/>
    <w:rsid w:val="00FF744F"/>
    <w:rsid w:val="00FF793D"/>
    <w:rsid w:val="00FF7BF1"/>
    <w:rsid w:val="00FF7EE7"/>
    <w:rsid w:val="014852B3"/>
    <w:rsid w:val="01D34903"/>
    <w:rsid w:val="0297204E"/>
    <w:rsid w:val="036C34DA"/>
    <w:rsid w:val="044C330C"/>
    <w:rsid w:val="04791AC8"/>
    <w:rsid w:val="05CE06E8"/>
    <w:rsid w:val="075F0928"/>
    <w:rsid w:val="076D47A3"/>
    <w:rsid w:val="079C1EB4"/>
    <w:rsid w:val="080A78AC"/>
    <w:rsid w:val="086F3157"/>
    <w:rsid w:val="092D370C"/>
    <w:rsid w:val="0A157CFC"/>
    <w:rsid w:val="0A200008"/>
    <w:rsid w:val="0A646B23"/>
    <w:rsid w:val="0AC27E84"/>
    <w:rsid w:val="0CDC6310"/>
    <w:rsid w:val="0D934B9A"/>
    <w:rsid w:val="0DEE3A7F"/>
    <w:rsid w:val="0E710BF6"/>
    <w:rsid w:val="0F0740B7"/>
    <w:rsid w:val="0F692FC4"/>
    <w:rsid w:val="0FBC7598"/>
    <w:rsid w:val="102962AF"/>
    <w:rsid w:val="112278CE"/>
    <w:rsid w:val="11622A94"/>
    <w:rsid w:val="133833D9"/>
    <w:rsid w:val="13B862C8"/>
    <w:rsid w:val="144F009D"/>
    <w:rsid w:val="14A81853"/>
    <w:rsid w:val="156C1118"/>
    <w:rsid w:val="158F4E06"/>
    <w:rsid w:val="17906158"/>
    <w:rsid w:val="17BF5E77"/>
    <w:rsid w:val="1811244B"/>
    <w:rsid w:val="182A0E16"/>
    <w:rsid w:val="19657050"/>
    <w:rsid w:val="19F24478"/>
    <w:rsid w:val="1AB23A71"/>
    <w:rsid w:val="1BD73063"/>
    <w:rsid w:val="1BED7224"/>
    <w:rsid w:val="1D5D61EB"/>
    <w:rsid w:val="1D5E3A3C"/>
    <w:rsid w:val="1D8C58F2"/>
    <w:rsid w:val="1D9531D6"/>
    <w:rsid w:val="1F973235"/>
    <w:rsid w:val="1FD9384E"/>
    <w:rsid w:val="20054643"/>
    <w:rsid w:val="207D154D"/>
    <w:rsid w:val="2186692E"/>
    <w:rsid w:val="22BD7457"/>
    <w:rsid w:val="23005595"/>
    <w:rsid w:val="23264FFC"/>
    <w:rsid w:val="23983A20"/>
    <w:rsid w:val="23CD191B"/>
    <w:rsid w:val="25E64E0A"/>
    <w:rsid w:val="26870F42"/>
    <w:rsid w:val="26B66402"/>
    <w:rsid w:val="27386B1B"/>
    <w:rsid w:val="279F2FDC"/>
    <w:rsid w:val="283B73C3"/>
    <w:rsid w:val="28814A83"/>
    <w:rsid w:val="28C50E13"/>
    <w:rsid w:val="29231FDE"/>
    <w:rsid w:val="293643AA"/>
    <w:rsid w:val="2A0153F7"/>
    <w:rsid w:val="2A93222D"/>
    <w:rsid w:val="2A992557"/>
    <w:rsid w:val="2AEF00DA"/>
    <w:rsid w:val="2B523154"/>
    <w:rsid w:val="2C197BFF"/>
    <w:rsid w:val="2C9034E6"/>
    <w:rsid w:val="2CA46F92"/>
    <w:rsid w:val="2CAE56E3"/>
    <w:rsid w:val="2D03015C"/>
    <w:rsid w:val="2D3447B9"/>
    <w:rsid w:val="2D880661"/>
    <w:rsid w:val="2DA57465"/>
    <w:rsid w:val="2DCD42C6"/>
    <w:rsid w:val="2F971030"/>
    <w:rsid w:val="300C09BA"/>
    <w:rsid w:val="30B434BA"/>
    <w:rsid w:val="30B654E5"/>
    <w:rsid w:val="30E262DA"/>
    <w:rsid w:val="31037367"/>
    <w:rsid w:val="32852B7B"/>
    <w:rsid w:val="328D25EC"/>
    <w:rsid w:val="334D0383"/>
    <w:rsid w:val="336631F3"/>
    <w:rsid w:val="34727975"/>
    <w:rsid w:val="350D6D7C"/>
    <w:rsid w:val="35165698"/>
    <w:rsid w:val="384B0D26"/>
    <w:rsid w:val="388F0AF6"/>
    <w:rsid w:val="38C61DEC"/>
    <w:rsid w:val="397F6DBC"/>
    <w:rsid w:val="39A14F85"/>
    <w:rsid w:val="3A034F3D"/>
    <w:rsid w:val="3AEE79AC"/>
    <w:rsid w:val="3C4165AB"/>
    <w:rsid w:val="3CCB0A1D"/>
    <w:rsid w:val="3CE04D3A"/>
    <w:rsid w:val="3CF27ADE"/>
    <w:rsid w:val="3D3E0D3C"/>
    <w:rsid w:val="3DE9514C"/>
    <w:rsid w:val="3E246184"/>
    <w:rsid w:val="3FC20BB2"/>
    <w:rsid w:val="40354679"/>
    <w:rsid w:val="40FD28FA"/>
    <w:rsid w:val="414A7CB0"/>
    <w:rsid w:val="41635211"/>
    <w:rsid w:val="42FA74B4"/>
    <w:rsid w:val="42FC44A5"/>
    <w:rsid w:val="43737646"/>
    <w:rsid w:val="44301C44"/>
    <w:rsid w:val="457B7A6B"/>
    <w:rsid w:val="46CE4EDF"/>
    <w:rsid w:val="47250EA9"/>
    <w:rsid w:val="47603EFA"/>
    <w:rsid w:val="47B2494B"/>
    <w:rsid w:val="47C46B31"/>
    <w:rsid w:val="48FA7BF0"/>
    <w:rsid w:val="499A379E"/>
    <w:rsid w:val="49DB1DED"/>
    <w:rsid w:val="49F71FC9"/>
    <w:rsid w:val="4A181BC3"/>
    <w:rsid w:val="4A5B5E98"/>
    <w:rsid w:val="4B9366F7"/>
    <w:rsid w:val="4C2E37C9"/>
    <w:rsid w:val="4D0D1EA9"/>
    <w:rsid w:val="4D5657A6"/>
    <w:rsid w:val="4D810EFD"/>
    <w:rsid w:val="4E7520E4"/>
    <w:rsid w:val="4E892302"/>
    <w:rsid w:val="4F4F2935"/>
    <w:rsid w:val="501A73E7"/>
    <w:rsid w:val="5028013C"/>
    <w:rsid w:val="50BC224C"/>
    <w:rsid w:val="51905BB3"/>
    <w:rsid w:val="52214A5D"/>
    <w:rsid w:val="530E3233"/>
    <w:rsid w:val="535F16A9"/>
    <w:rsid w:val="55933E69"/>
    <w:rsid w:val="56533FCA"/>
    <w:rsid w:val="572528F9"/>
    <w:rsid w:val="577D0987"/>
    <w:rsid w:val="57953E2A"/>
    <w:rsid w:val="58333A51"/>
    <w:rsid w:val="58E725FC"/>
    <w:rsid w:val="58F5275D"/>
    <w:rsid w:val="5AC25483"/>
    <w:rsid w:val="5B0A7536"/>
    <w:rsid w:val="5C801FBB"/>
    <w:rsid w:val="5CA70254"/>
    <w:rsid w:val="5D0607CD"/>
    <w:rsid w:val="5E745F14"/>
    <w:rsid w:val="5FBD66BA"/>
    <w:rsid w:val="5FED41D0"/>
    <w:rsid w:val="60C767CF"/>
    <w:rsid w:val="619743F4"/>
    <w:rsid w:val="61F44369"/>
    <w:rsid w:val="624D71A8"/>
    <w:rsid w:val="62AD3016"/>
    <w:rsid w:val="634619AE"/>
    <w:rsid w:val="63BB5528"/>
    <w:rsid w:val="63CB4828"/>
    <w:rsid w:val="643C1EFF"/>
    <w:rsid w:val="653D1756"/>
    <w:rsid w:val="66492FA1"/>
    <w:rsid w:val="66A065A8"/>
    <w:rsid w:val="66FF63A4"/>
    <w:rsid w:val="671D539B"/>
    <w:rsid w:val="676A5052"/>
    <w:rsid w:val="67D0240D"/>
    <w:rsid w:val="67E5371B"/>
    <w:rsid w:val="68051B05"/>
    <w:rsid w:val="681F5143"/>
    <w:rsid w:val="687A4A6F"/>
    <w:rsid w:val="693212A4"/>
    <w:rsid w:val="69AC0564"/>
    <w:rsid w:val="6A365BDB"/>
    <w:rsid w:val="6A590DE0"/>
    <w:rsid w:val="6A8249E6"/>
    <w:rsid w:val="6B0C053B"/>
    <w:rsid w:val="6B21130D"/>
    <w:rsid w:val="6B79572D"/>
    <w:rsid w:val="6B8C088D"/>
    <w:rsid w:val="6CA125CA"/>
    <w:rsid w:val="6CEF1588"/>
    <w:rsid w:val="6D702546"/>
    <w:rsid w:val="6E6E0BD2"/>
    <w:rsid w:val="6F981B86"/>
    <w:rsid w:val="6FBF3137"/>
    <w:rsid w:val="70406AFA"/>
    <w:rsid w:val="71180175"/>
    <w:rsid w:val="711F61B4"/>
    <w:rsid w:val="718B55F7"/>
    <w:rsid w:val="71A1306D"/>
    <w:rsid w:val="73AC6367"/>
    <w:rsid w:val="73D43285"/>
    <w:rsid w:val="74863B14"/>
    <w:rsid w:val="75B8042B"/>
    <w:rsid w:val="760425F5"/>
    <w:rsid w:val="76360227"/>
    <w:rsid w:val="7750356B"/>
    <w:rsid w:val="77882D05"/>
    <w:rsid w:val="784A7FBA"/>
    <w:rsid w:val="787065D8"/>
    <w:rsid w:val="78A43B6E"/>
    <w:rsid w:val="78B11DE7"/>
    <w:rsid w:val="790740FD"/>
    <w:rsid w:val="790768E0"/>
    <w:rsid w:val="798C015E"/>
    <w:rsid w:val="7A664E53"/>
    <w:rsid w:val="7A7D741E"/>
    <w:rsid w:val="7B4231CA"/>
    <w:rsid w:val="7C0A3A47"/>
    <w:rsid w:val="7C151C2A"/>
    <w:rsid w:val="7D796C4C"/>
    <w:rsid w:val="7DFB0AC5"/>
    <w:rsid w:val="7EE10F4C"/>
    <w:rsid w:val="7F0569E9"/>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4"/>
    <w:next w:val="1"/>
    <w:link w:val="41"/>
    <w:unhideWhenUsed/>
    <w:qFormat/>
    <w:uiPriority w:val="9"/>
    <w:pPr>
      <w:numPr>
        <w:ilvl w:val="1"/>
        <w:numId w:val="1"/>
      </w:numPr>
      <w:spacing w:line="360" w:lineRule="auto"/>
      <w:ind w:firstLine="0" w:firstLineChars="0"/>
      <w:outlineLvl w:val="1"/>
    </w:pPr>
    <w:rPr>
      <w:rFonts w:ascii="Times New Roman" w:hAnsi="Times New Roman" w:eastAsia="仿宋" w:cs="Times New Roman"/>
      <w:b/>
      <w:bCs/>
      <w:sz w:val="30"/>
      <w:szCs w:val="30"/>
    </w:rPr>
  </w:style>
  <w:style w:type="paragraph" w:styleId="5">
    <w:name w:val="heading 3"/>
    <w:basedOn w:val="4"/>
    <w:next w:val="1"/>
    <w:link w:val="46"/>
    <w:unhideWhenUsed/>
    <w:qFormat/>
    <w:uiPriority w:val="9"/>
    <w:pPr>
      <w:numPr>
        <w:ilvl w:val="2"/>
        <w:numId w:val="2"/>
      </w:numPr>
      <w:spacing w:line="360" w:lineRule="auto"/>
      <w:ind w:firstLine="0" w:firstLineChars="0"/>
      <w:outlineLvl w:val="2"/>
    </w:pPr>
    <w:rPr>
      <w:rFonts w:ascii="Times New Roman" w:hAnsi="Times New Roman" w:eastAsia="仿宋" w:cs="Times New Roman"/>
      <w:b/>
      <w:bCs/>
      <w:sz w:val="30"/>
      <w:szCs w:val="30"/>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customStyle="1" w:styleId="4">
    <w:name w:val="列表段落1"/>
    <w:basedOn w:val="1"/>
    <w:qFormat/>
    <w:uiPriority w:val="99"/>
    <w:pPr>
      <w:ind w:firstLine="420" w:firstLineChars="200"/>
    </w:pPr>
  </w:style>
  <w:style w:type="paragraph" w:styleId="6">
    <w:name w:val="toc 7"/>
    <w:basedOn w:val="1"/>
    <w:next w:val="1"/>
    <w:unhideWhenUsed/>
    <w:qFormat/>
    <w:uiPriority w:val="39"/>
    <w:pPr>
      <w:ind w:left="2520" w:leftChars="1200"/>
    </w:p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Document Map"/>
    <w:basedOn w:val="1"/>
    <w:link w:val="44"/>
    <w:unhideWhenUsed/>
    <w:qFormat/>
    <w:uiPriority w:val="99"/>
    <w:rPr>
      <w:rFonts w:ascii="宋体" w:eastAsia="宋体"/>
      <w:sz w:val="18"/>
      <w:szCs w:val="18"/>
    </w:rPr>
  </w:style>
  <w:style w:type="paragraph" w:styleId="9">
    <w:name w:val="annotation text"/>
    <w:basedOn w:val="1"/>
    <w:link w:val="35"/>
    <w:unhideWhenUsed/>
    <w:qFormat/>
    <w:uiPriority w:val="99"/>
    <w:pPr>
      <w:jc w:val="left"/>
    </w:pPr>
  </w:style>
  <w:style w:type="paragraph" w:styleId="10">
    <w:name w:val="Body Text"/>
    <w:basedOn w:val="1"/>
    <w:link w:val="48"/>
    <w:qFormat/>
    <w:uiPriority w:val="0"/>
    <w:pPr>
      <w:spacing w:after="120"/>
    </w:pPr>
    <w:rPr>
      <w:rFonts w:ascii="Calibri" w:hAnsi="Calibri" w:eastAsia="宋体" w:cs="Arial"/>
      <w:szCs w:val="24"/>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ind w:left="2940" w:leftChars="1400"/>
    </w:pPr>
  </w:style>
  <w:style w:type="paragraph" w:styleId="14">
    <w:name w:val="endnote text"/>
    <w:basedOn w:val="1"/>
    <w:link w:val="63"/>
    <w:semiHidden/>
    <w:unhideWhenUsed/>
    <w:qFormat/>
    <w:uiPriority w:val="99"/>
    <w:pPr>
      <w:snapToGrid w:val="0"/>
      <w:jc w:val="left"/>
    </w:pPr>
  </w:style>
  <w:style w:type="paragraph" w:styleId="15">
    <w:name w:val="Balloon Text"/>
    <w:basedOn w:val="1"/>
    <w:link w:val="43"/>
    <w:unhideWhenUsed/>
    <w:qFormat/>
    <w:uiPriority w:val="99"/>
    <w:rPr>
      <w:sz w:val="18"/>
      <w:szCs w:val="18"/>
    </w:rPr>
  </w:style>
  <w:style w:type="paragraph" w:styleId="16">
    <w:name w:val="footer"/>
    <w:basedOn w:val="1"/>
    <w:link w:val="39"/>
    <w:unhideWhenUsed/>
    <w:qFormat/>
    <w:uiPriority w:val="99"/>
    <w:pPr>
      <w:tabs>
        <w:tab w:val="center" w:pos="4153"/>
        <w:tab w:val="right" w:pos="8306"/>
      </w:tabs>
      <w:snapToGrid w:val="0"/>
      <w:jc w:val="left"/>
    </w:pPr>
    <w:rPr>
      <w:sz w:val="18"/>
      <w:szCs w:val="18"/>
    </w:rPr>
  </w:style>
  <w:style w:type="paragraph" w:styleId="17">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footnote text"/>
    <w:basedOn w:val="1"/>
    <w:link w:val="51"/>
    <w:unhideWhenUsed/>
    <w:qFormat/>
    <w:uiPriority w:val="99"/>
    <w:pPr>
      <w:snapToGrid w:val="0"/>
      <w:jc w:val="left"/>
    </w:pPr>
    <w:rPr>
      <w:sz w:val="18"/>
      <w:szCs w:val="18"/>
    </w:rPr>
  </w:style>
  <w:style w:type="paragraph" w:styleId="21">
    <w:name w:val="toc 6"/>
    <w:basedOn w:val="1"/>
    <w:next w:val="1"/>
    <w:unhideWhenUsed/>
    <w:qFormat/>
    <w:uiPriority w:val="39"/>
    <w:pPr>
      <w:ind w:left="2100" w:leftChars="1000"/>
    </w:p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style>
  <w:style w:type="paragraph" w:styleId="2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annotation subject"/>
    <w:basedOn w:val="9"/>
    <w:next w:val="9"/>
    <w:link w:val="36"/>
    <w:unhideWhenUsed/>
    <w:qFormat/>
    <w:uiPriority w:val="99"/>
    <w:rPr>
      <w:b/>
      <w:bCs/>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endnote reference"/>
    <w:basedOn w:val="28"/>
    <w:semiHidden/>
    <w:unhideWhenUsed/>
    <w:qFormat/>
    <w:uiPriority w:val="99"/>
    <w:rPr>
      <w:vertAlign w:val="superscript"/>
    </w:rPr>
  </w:style>
  <w:style w:type="character" w:styleId="30">
    <w:name w:val="FollowedHyperlink"/>
    <w:basedOn w:val="28"/>
    <w:unhideWhenUsed/>
    <w:qFormat/>
    <w:uiPriority w:val="99"/>
    <w:rPr>
      <w:color w:val="954F72"/>
      <w:u w:val="single"/>
    </w:rPr>
  </w:style>
  <w:style w:type="character" w:styleId="31">
    <w:name w:val="Hyperlink"/>
    <w:basedOn w:val="28"/>
    <w:unhideWhenUsed/>
    <w:qFormat/>
    <w:uiPriority w:val="99"/>
    <w:rPr>
      <w:color w:val="0563C1" w:themeColor="hyperlink"/>
      <w:u w:val="single"/>
    </w:rPr>
  </w:style>
  <w:style w:type="character" w:styleId="32">
    <w:name w:val="annotation reference"/>
    <w:basedOn w:val="28"/>
    <w:unhideWhenUsed/>
    <w:qFormat/>
    <w:uiPriority w:val="99"/>
    <w:rPr>
      <w:sz w:val="21"/>
      <w:szCs w:val="21"/>
    </w:rPr>
  </w:style>
  <w:style w:type="character" w:styleId="33">
    <w:name w:val="footnote reference"/>
    <w:basedOn w:val="28"/>
    <w:unhideWhenUsed/>
    <w:qFormat/>
    <w:uiPriority w:val="99"/>
    <w:rPr>
      <w:vertAlign w:val="superscript"/>
    </w:rPr>
  </w:style>
  <w:style w:type="character" w:customStyle="1" w:styleId="34">
    <w:name w:val="标题 1 字符"/>
    <w:basedOn w:val="28"/>
    <w:link w:val="2"/>
    <w:qFormat/>
    <w:uiPriority w:val="9"/>
    <w:rPr>
      <w:b/>
      <w:bCs/>
      <w:kern w:val="44"/>
      <w:sz w:val="44"/>
      <w:szCs w:val="44"/>
    </w:rPr>
  </w:style>
  <w:style w:type="character" w:customStyle="1" w:styleId="35">
    <w:name w:val="批注文字 字符"/>
    <w:basedOn w:val="28"/>
    <w:link w:val="9"/>
    <w:qFormat/>
    <w:uiPriority w:val="99"/>
  </w:style>
  <w:style w:type="character" w:customStyle="1" w:styleId="36">
    <w:name w:val="批注主题 字符"/>
    <w:basedOn w:val="35"/>
    <w:link w:val="25"/>
    <w:semiHidden/>
    <w:qFormat/>
    <w:uiPriority w:val="99"/>
    <w:rPr>
      <w:b/>
      <w:bCs/>
    </w:rPr>
  </w:style>
  <w:style w:type="character" w:customStyle="1" w:styleId="37">
    <w:name w:val="占位符文本1"/>
    <w:basedOn w:val="28"/>
    <w:semiHidden/>
    <w:qFormat/>
    <w:uiPriority w:val="99"/>
    <w:rPr>
      <w:color w:val="808080"/>
    </w:rPr>
  </w:style>
  <w:style w:type="character" w:customStyle="1" w:styleId="38">
    <w:name w:val="页眉 字符"/>
    <w:basedOn w:val="28"/>
    <w:link w:val="17"/>
    <w:qFormat/>
    <w:uiPriority w:val="99"/>
    <w:rPr>
      <w:sz w:val="18"/>
      <w:szCs w:val="18"/>
    </w:rPr>
  </w:style>
  <w:style w:type="character" w:customStyle="1" w:styleId="39">
    <w:name w:val="页脚 字符"/>
    <w:basedOn w:val="28"/>
    <w:link w:val="16"/>
    <w:qFormat/>
    <w:uiPriority w:val="99"/>
    <w:rPr>
      <w:sz w:val="18"/>
      <w:szCs w:val="18"/>
    </w:rPr>
  </w:style>
  <w:style w:type="paragraph" w:customStyle="1" w:styleId="4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41">
    <w:name w:val="标题 2 字符"/>
    <w:basedOn w:val="28"/>
    <w:link w:val="3"/>
    <w:qFormat/>
    <w:uiPriority w:val="9"/>
    <w:rPr>
      <w:rFonts w:ascii="Times New Roman" w:hAnsi="Times New Roman" w:eastAsia="仿宋" w:cs="Times New Roman"/>
      <w:b/>
      <w:bCs/>
      <w:kern w:val="2"/>
      <w:sz w:val="30"/>
      <w:szCs w:val="30"/>
    </w:rPr>
  </w:style>
  <w:style w:type="paragraph" w:customStyle="1" w:styleId="42">
    <w:name w:val="表格格式"/>
    <w:basedOn w:val="1"/>
    <w:qFormat/>
    <w:uiPriority w:val="0"/>
    <w:pPr>
      <w:jc w:val="center"/>
    </w:pPr>
    <w:rPr>
      <w:rFonts w:hint="eastAsia" w:ascii="Times New Roman" w:hAnsi="Times New Roman" w:eastAsia="仿宋" w:cs="Times New Roman"/>
      <w:bCs/>
      <w:snapToGrid w:val="0"/>
      <w:sz w:val="24"/>
      <w:szCs w:val="32"/>
    </w:rPr>
  </w:style>
  <w:style w:type="character" w:customStyle="1" w:styleId="43">
    <w:name w:val="批注框文本 字符"/>
    <w:basedOn w:val="28"/>
    <w:link w:val="15"/>
    <w:semiHidden/>
    <w:qFormat/>
    <w:uiPriority w:val="99"/>
    <w:rPr>
      <w:kern w:val="2"/>
      <w:sz w:val="18"/>
      <w:szCs w:val="18"/>
    </w:rPr>
  </w:style>
  <w:style w:type="character" w:customStyle="1" w:styleId="44">
    <w:name w:val="文档结构图 字符"/>
    <w:basedOn w:val="28"/>
    <w:link w:val="8"/>
    <w:semiHidden/>
    <w:qFormat/>
    <w:uiPriority w:val="99"/>
    <w:rPr>
      <w:rFonts w:ascii="宋体" w:eastAsia="宋体"/>
      <w:kern w:val="2"/>
      <w:sz w:val="18"/>
      <w:szCs w:val="18"/>
    </w:rPr>
  </w:style>
  <w:style w:type="table" w:customStyle="1" w:styleId="45">
    <w:name w:val="网格表 4 - 着色 51"/>
    <w:basedOn w:val="26"/>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character" w:customStyle="1" w:styleId="46">
    <w:name w:val="标题 3 字符"/>
    <w:basedOn w:val="28"/>
    <w:link w:val="5"/>
    <w:qFormat/>
    <w:uiPriority w:val="9"/>
    <w:rPr>
      <w:rFonts w:ascii="Times New Roman" w:hAnsi="Times New Roman" w:eastAsia="仿宋" w:cs="Times New Roman"/>
      <w:b/>
      <w:bCs/>
      <w:kern w:val="2"/>
      <w:sz w:val="30"/>
      <w:szCs w:val="30"/>
    </w:rPr>
  </w:style>
  <w:style w:type="character" w:customStyle="1" w:styleId="47">
    <w:name w:val="未处理的提及1"/>
    <w:basedOn w:val="28"/>
    <w:unhideWhenUsed/>
    <w:qFormat/>
    <w:uiPriority w:val="99"/>
    <w:rPr>
      <w:color w:val="605E5C"/>
      <w:shd w:val="clear" w:color="auto" w:fill="E1DFDD"/>
    </w:rPr>
  </w:style>
  <w:style w:type="character" w:customStyle="1" w:styleId="48">
    <w:name w:val="正文文本 字符"/>
    <w:basedOn w:val="28"/>
    <w:link w:val="10"/>
    <w:qFormat/>
    <w:uiPriority w:val="0"/>
    <w:rPr>
      <w:rFonts w:ascii="Calibri" w:hAnsi="Calibri" w:eastAsia="宋体" w:cs="Arial"/>
      <w:kern w:val="2"/>
      <w:sz w:val="21"/>
      <w:szCs w:val="24"/>
    </w:rPr>
  </w:style>
  <w:style w:type="paragraph" w:customStyle="1" w:styleId="49">
    <w:name w:val="正文 1"/>
    <w:basedOn w:val="1"/>
    <w:link w:val="50"/>
    <w:qFormat/>
    <w:uiPriority w:val="0"/>
    <w:pPr>
      <w:spacing w:line="560" w:lineRule="exact"/>
      <w:ind w:firstLine="600" w:firstLineChars="200"/>
    </w:pPr>
    <w:rPr>
      <w:rFonts w:ascii="Times New Roman" w:hAnsi="Times New Roman" w:eastAsia="仿宋_GB2312"/>
      <w:sz w:val="30"/>
      <w:szCs w:val="30"/>
    </w:rPr>
  </w:style>
  <w:style w:type="character" w:customStyle="1" w:styleId="50">
    <w:name w:val="正文 1 Char"/>
    <w:basedOn w:val="28"/>
    <w:link w:val="49"/>
    <w:qFormat/>
    <w:uiPriority w:val="0"/>
    <w:rPr>
      <w:rFonts w:ascii="Times New Roman" w:hAnsi="Times New Roman" w:eastAsia="仿宋_GB2312"/>
      <w:kern w:val="2"/>
      <w:sz w:val="30"/>
      <w:szCs w:val="30"/>
    </w:rPr>
  </w:style>
  <w:style w:type="character" w:customStyle="1" w:styleId="51">
    <w:name w:val="脚注文本 字符"/>
    <w:basedOn w:val="28"/>
    <w:link w:val="20"/>
    <w:semiHidden/>
    <w:qFormat/>
    <w:uiPriority w:val="99"/>
    <w:rPr>
      <w:kern w:val="2"/>
      <w:sz w:val="18"/>
      <w:szCs w:val="18"/>
    </w:rPr>
  </w:style>
  <w:style w:type="paragraph" w:customStyle="1" w:styleId="5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3">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4"/>
      <w:szCs w:val="24"/>
    </w:rPr>
  </w:style>
  <w:style w:type="paragraph" w:customStyle="1" w:styleId="5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5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4"/>
      <w:szCs w:val="24"/>
    </w:rPr>
  </w:style>
  <w:style w:type="paragraph" w:customStyle="1" w:styleId="5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9">
    <w:name w:val="xl6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6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24"/>
      <w:szCs w:val="24"/>
    </w:rPr>
  </w:style>
  <w:style w:type="paragraph" w:customStyle="1" w:styleId="62">
    <w:name w:val="修订1"/>
    <w:hidden/>
    <w:semiHidden/>
    <w:uiPriority w:val="99"/>
    <w:rPr>
      <w:rFonts w:asciiTheme="minorHAnsi" w:hAnsiTheme="minorHAnsi" w:eastAsiaTheme="minorEastAsia" w:cstheme="minorBidi"/>
      <w:kern w:val="2"/>
      <w:sz w:val="21"/>
      <w:szCs w:val="22"/>
      <w:lang w:val="en-US" w:eastAsia="zh-CN" w:bidi="ar-SA"/>
    </w:rPr>
  </w:style>
  <w:style w:type="character" w:customStyle="1" w:styleId="63">
    <w:name w:val="尾注文本 字符"/>
    <w:basedOn w:val="28"/>
    <w:link w:val="14"/>
    <w:semiHidden/>
    <w:uiPriority w:val="99"/>
    <w:rPr>
      <w:kern w:val="2"/>
      <w:sz w:val="21"/>
      <w:szCs w:val="22"/>
    </w:rPr>
  </w:style>
  <w:style w:type="paragraph" w:styleId="64">
    <w:name w:val="List Paragraph"/>
    <w:basedOn w:val="1"/>
    <w:qFormat/>
    <w:uiPriority w:val="99"/>
    <w:pPr>
      <w:ind w:firstLine="420" w:firstLineChars="200"/>
    </w:pPr>
  </w:style>
  <w:style w:type="paragraph" w:customStyle="1" w:styleId="65">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19&#24180;&#24191;&#19996;&#31532;&#20845;&#27425;&#27801;&#21270;&#30417;&#27979;\&#24191;&#19996;&#30465;&#27801;&#21270;&#32479;&#35745;&#34920;\&#29616;&#29366;&#32479;&#35745;&#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67818335611"/>
          <c:y val="0.142041562000457"/>
          <c:w val="0.821475177304964"/>
          <c:h val="0.71555149577529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elete val="1"/>
          </c:dLbls>
          <c:cat>
            <c:strRef>
              <c:f>[现状统计表.xls]Sheet2!$Q$5:$V$5</c:f>
              <c:strCache>
                <c:ptCount val="6"/>
                <c:pt idx="0">
                  <c:v>1994年</c:v>
                </c:pt>
                <c:pt idx="1">
                  <c:v>1999年</c:v>
                </c:pt>
                <c:pt idx="2">
                  <c:v>2004年</c:v>
                </c:pt>
                <c:pt idx="3">
                  <c:v>2009年</c:v>
                </c:pt>
                <c:pt idx="4">
                  <c:v>2014年</c:v>
                </c:pt>
                <c:pt idx="5">
                  <c:v>2019年</c:v>
                </c:pt>
              </c:strCache>
            </c:strRef>
          </c:cat>
          <c:val>
            <c:numRef>
              <c:f>[现状统计表.xls]Sheet2!$Q$6:$V$6</c:f>
              <c:numCache>
                <c:formatCode>General</c:formatCode>
                <c:ptCount val="6"/>
                <c:pt idx="0">
                  <c:v>119759</c:v>
                </c:pt>
                <c:pt idx="1" c:formatCode="0.00_ ">
                  <c:v>113737.3</c:v>
                </c:pt>
                <c:pt idx="2" c:formatCode="0.00_ ">
                  <c:v>109527.5</c:v>
                </c:pt>
                <c:pt idx="3" c:formatCode="0.00_ ">
                  <c:v>100252.927</c:v>
                </c:pt>
                <c:pt idx="4" c:formatCode="0.00_ ">
                  <c:v>53819.61</c:v>
                </c:pt>
                <c:pt idx="5" c:formatCode="0.00_ ">
                  <c:v>33944.7362</c:v>
                </c:pt>
              </c:numCache>
            </c:numRef>
          </c:val>
        </c:ser>
        <c:dLbls>
          <c:showLegendKey val="0"/>
          <c:showVal val="0"/>
          <c:showCatName val="0"/>
          <c:showSerName val="0"/>
          <c:showPercent val="0"/>
          <c:showBubbleSize val="0"/>
        </c:dLbls>
        <c:gapWidth val="219"/>
        <c:overlap val="-27"/>
        <c:axId val="229319771"/>
        <c:axId val="818732657"/>
      </c:barChart>
      <c:lineChart>
        <c:grouping val="stacked"/>
        <c:varyColors val="0"/>
        <c:ser>
          <c:idx val="1"/>
          <c:order val="1"/>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s>
            <c:dLbl>
              <c:idx val="0"/>
              <c:layout>
                <c:manualLayout>
                  <c:x val="-0.0110091743119266"/>
                  <c:y val="-0.0411052751769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17431192660551"/>
                  <c:y val="-0.04453071477506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17431192660551"/>
                  <c:y val="-0.02740351678465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0091743119266"/>
                  <c:y val="-0.04453071477506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0091743119266"/>
                  <c:y val="-0.04453071477506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609315288351"/>
                  <c:y val="-0.04453071477506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50000"/>
                        <a:lumOff val="50000"/>
                      </a:schemeClr>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[现状统计表.xls]Sheet2!$Q$7:$V$7</c:f>
              <c:numCache>
                <c:formatCode>General</c:formatCode>
                <c:ptCount val="6"/>
                <c:pt idx="0">
                  <c:v>119759</c:v>
                </c:pt>
                <c:pt idx="1" c:formatCode="0.00_ ">
                  <c:v>113737.3</c:v>
                </c:pt>
                <c:pt idx="2" c:formatCode="0.00_ ">
                  <c:v>109527.5</c:v>
                </c:pt>
                <c:pt idx="3" c:formatCode="0.00_ ">
                  <c:v>100252.927</c:v>
                </c:pt>
                <c:pt idx="4" c:formatCode="0.00_ ">
                  <c:v>53819.61</c:v>
                </c:pt>
                <c:pt idx="5" c:formatCode="0.00_ ">
                  <c:v>33944.7362</c:v>
                </c:pt>
              </c:numCache>
            </c:numRef>
          </c:val>
          <c:smooth val="0"/>
        </c:ser>
        <c:dLbls>
          <c:showLegendKey val="0"/>
          <c:showVal val="1"/>
          <c:showCatName val="0"/>
          <c:showSerName val="0"/>
          <c:showPercent val="0"/>
          <c:showBubbleSize val="0"/>
        </c:dLbls>
        <c:marker val="1"/>
        <c:smooth val="0"/>
        <c:axId val="229319771"/>
        <c:axId val="818732657"/>
      </c:lineChart>
      <c:catAx>
        <c:axId val="22931977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Times New Roman" panose="02020603050405020304" charset="0"/>
                <a:ea typeface="宋体" panose="02010600030101010101" charset="-122"/>
                <a:cs typeface="Times New Roman" panose="02020603050405020304" charset="0"/>
              </a:defRPr>
            </a:pPr>
          </a:p>
        </c:txPr>
        <c:crossAx val="818732657"/>
        <c:crosses val="autoZero"/>
        <c:auto val="1"/>
        <c:lblAlgn val="ctr"/>
        <c:lblOffset val="100"/>
        <c:noMultiLvlLbl val="0"/>
      </c:catAx>
      <c:valAx>
        <c:axId val="81873265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900" b="0" i="0" u="none" strike="noStrike" kern="1200" cap="all" baseline="0">
                    <a:solidFill>
                      <a:schemeClr val="tx1">
                        <a:lumMod val="50000"/>
                        <a:lumOff val="50000"/>
                      </a:schemeClr>
                    </a:solidFill>
                    <a:latin typeface="Times New Roman" panose="02020603050405020304" charset="0"/>
                    <a:ea typeface="宋体" panose="02010600030101010101" charset="-122"/>
                    <a:cs typeface="Times New Roman" panose="02020603050405020304" charset="0"/>
                  </a:defRPr>
                </a:pPr>
                <a:r>
                  <a:rPr lang="zh-CN"/>
                  <a:t>单位（公顷）</a:t>
                </a:r>
                <a:endParaRPr lang="zh-CN"/>
              </a:p>
            </c:rich>
          </c:tx>
          <c:layout>
            <c:manualLayout>
              <c:xMode val="edge"/>
              <c:yMode val="edge"/>
              <c:x val="0.0153555859197085"/>
              <c:y val="0.35001141813199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Times New Roman" panose="02020603050405020304" charset="0"/>
                <a:ea typeface="宋体" panose="02010600030101010101" charset="-122"/>
                <a:cs typeface="Times New Roman" panose="02020603050405020304" charset="0"/>
              </a:defRPr>
            </a:pPr>
          </a:p>
        </c:txPr>
        <c:crossAx val="2293197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customShpInfo spid="_x0000_s2050"/>
    <customShpInfo spid="_x0000_s2051"/>
    <customShpInfo spid="_x0000_s2052"/>
    <customShpInfo spid="_x0000_s2053"/>
    <customShpInfo spid="_x0000_s2054"/>
    <customShpInfo spid="_x0000_s2055"/>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950EFC-E468-49AB-9312-844BECC7AFD1}">
  <ds:schemaRefs/>
</ds:datastoreItem>
</file>

<file path=docProps/app.xml><?xml version="1.0" encoding="utf-8"?>
<Properties xmlns="http://schemas.openxmlformats.org/officeDocument/2006/extended-properties" xmlns:vt="http://schemas.openxmlformats.org/officeDocument/2006/docPropsVTypes">
  <Template>Normal.dotm</Template>
  <Pages>87</Pages>
  <Words>8859</Words>
  <Characters>50497</Characters>
  <Lines>420</Lines>
  <Paragraphs>118</Paragraphs>
  <TotalTime>1391</TotalTime>
  <ScaleCrop>false</ScaleCrop>
  <LinksUpToDate>false</LinksUpToDate>
  <CharactersWithSpaces>59238</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2022-10-24T02:05:00Z</dcterms:created>
  <dc:creator>Mu tong</dc:creator>
  <cp:lastModifiedBy>汪锋</cp:lastModifiedBy>
  <cp:lastPrinted>2023-03-17T06:14:00Z</cp:lastPrinted>
  <dcterms:modified xsi:type="dcterms:W3CDTF">2023-05-08T07:38:34Z</dcterms:modified>
  <cp:revision>3648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87ED3565B788420EB1B3897BCDF087EE</vt:lpwstr>
  </property>
</Properties>
</file>